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88" w:line="23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56" w:after="0" w:line="240"/>
        <w:ind w:right="161" w:left="5470" w:firstLine="2844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АДМИНИСТРАЦИИ ТРОСТЯНСКОГО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НОВОАННИНСКОГО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ВОЛГОГРАДСКОЙ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9180"/>
      </w:tblGrid>
      <w:tr>
        <w:trPr>
          <w:trHeight w:val="180" w:hRule="auto"/>
          <w:jc w:val="left"/>
        </w:trPr>
        <w:tc>
          <w:tcPr>
            <w:tcW w:w="9180" w:type="dxa"/>
            <w:tcBorders>
              <w:top w:val="single" w:color="836967" w:sz="3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        от 25 .11.2016 г.                                                             № 59</w:t>
      </w:r>
    </w:p>
    <w:p>
      <w:pPr>
        <w:tabs>
          <w:tab w:val="left" w:pos="889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Об утверждении  муниципальной программы «Социально-экономического развития Тростянского сельского поселения Новоаннинского муниципального района Волгоградской области  на 2016-2025 годы»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01..10.2015 № 1050 «Об утверждении  требований к программам комплексного развития социальной инфраструктуры поселений, городских округов» и  Уставом Тростянского сельского поселения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 о с т а н о в л я ю: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муниципальную программу «Социально-экономического развития Тростянского сельского поселения Новоаннинского муниципального района Волгоградской области  на 2016-2025 годы» ( далее-Программа) согласно приложению.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Тростянского сельского поселения предусмотреть на 2016-2025 годы денежные средства для реализации Программы. 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Установить, что в ходе реализации Программы, мероприятия и объемы их финансирования подлежат корректировке с учетом возможностей средств бюджета поселения.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со дня подписания и подлежит официальному опубликованию (обнародованию).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Контроль, за исполнением настоящего постановления, оставляю за собой.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Глава Тростянского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        С.В.Волков</w:t>
      </w:r>
    </w:p>
    <w:p>
      <w:pPr>
        <w:spacing w:before="56" w:after="0" w:line="240"/>
        <w:ind w:right="161" w:left="5470" w:firstLine="2844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56" w:after="0" w:line="240"/>
        <w:ind w:right="161" w:left="5470" w:firstLine="2844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56" w:after="0" w:line="240"/>
        <w:ind w:right="161" w:left="5470" w:firstLine="2844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56" w:after="0" w:line="240"/>
        <w:ind w:right="161" w:left="5470" w:firstLine="2844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56" w:after="0" w:line="240"/>
        <w:ind w:right="161" w:left="5470" w:firstLine="2844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56" w:after="0" w:line="240"/>
        <w:ind w:right="161" w:left="5470" w:firstLine="2844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56" w:after="0" w:line="240"/>
        <w:ind w:right="161" w:left="5470" w:firstLine="2844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388" w:line="23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388" w:line="230"/>
        <w:ind w:right="0" w:left="72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388" w:line="230"/>
        <w:ind w:right="0" w:left="72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  <w:t xml:space="preserve">УТВЕРЖДЕНО</w:t>
      </w:r>
    </w:p>
    <w:p>
      <w:pPr>
        <w:tabs>
          <w:tab w:val="left" w:pos="8431" w:leader="none"/>
        </w:tabs>
        <w:spacing w:before="0" w:after="0" w:line="274"/>
        <w:ind w:right="2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Приложение </w:t>
      </w:r>
    </w:p>
    <w:p>
      <w:pPr>
        <w:tabs>
          <w:tab w:val="left" w:pos="8431" w:leader="none"/>
        </w:tabs>
        <w:spacing w:before="0" w:after="0" w:line="274"/>
        <w:ind w:right="2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к постановлению администрации </w:t>
      </w:r>
    </w:p>
    <w:p>
      <w:pPr>
        <w:tabs>
          <w:tab w:val="left" w:pos="8431" w:leader="none"/>
        </w:tabs>
        <w:spacing w:before="0" w:after="0" w:line="274"/>
        <w:ind w:right="2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Тростянского сельского поселения от 25.11.2016г. №59</w:t>
      </w: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431" w:leader="none"/>
        </w:tabs>
        <w:spacing w:before="0" w:after="0" w:line="274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74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  <w:t xml:space="preserve">МУНИЦИПАЛЬНАЯ ПРОГРАММА СОЦИАЛЬНО-ЭКОНОМИЧЕСКОГО РАЗВИТИЯ ТРОСТЯНСКОГО СЕЛЬСКОГО ПОСЕЛЕНИЯ НОВОАННИНСКОГО МУНИЦИПАЛЬНОГО РАЙОНА ВОЛГОГРАДСКОЙ  ОБЛАСТИ</w:t>
      </w:r>
    </w:p>
    <w:p>
      <w:pPr>
        <w:spacing w:before="0" w:after="0" w:line="274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  <w:t xml:space="preserve">НА ПЕРИОД 2016-2025 ГГ.</w:t>
      </w:r>
    </w:p>
    <w:p>
      <w:pPr>
        <w:spacing w:before="0" w:after="0" w:line="23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  <w:t xml:space="preserve">ПАСПОРТ ПРОГРАММЫ</w:t>
      </w:r>
    </w:p>
    <w:tbl>
      <w:tblPr>
        <w:tblInd w:w="45" w:type="dxa"/>
      </w:tblPr>
      <w:tblGrid>
        <w:gridCol w:w="2885"/>
        <w:gridCol w:w="7224"/>
      </w:tblGrid>
      <w:tr>
        <w:trPr>
          <w:trHeight w:val="845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Наименование 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Программа социально-экономического развития Ивановского сельского поселения Шарьинского муниципального района Костромской области на период 2016-2025гг.</w:t>
            </w:r>
          </w:p>
        </w:tc>
      </w:tr>
      <w:tr>
        <w:trPr>
          <w:trHeight w:val="835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Основание для</w:t>
            </w:r>
          </w:p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разработки</w:t>
            </w:r>
          </w:p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>
        <w:trPr>
          <w:trHeight w:val="360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Заказчик 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Администрация Ивановского сельского поселения</w:t>
            </w:r>
          </w:p>
        </w:tc>
      </w:tr>
      <w:tr>
        <w:trPr>
          <w:trHeight w:val="562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Разработчик 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Администрация Ивановского сельского поселения</w:t>
            </w:r>
          </w:p>
        </w:tc>
      </w:tr>
      <w:tr>
        <w:trPr>
          <w:trHeight w:val="1392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Цель 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Повышение уровня развития социальной инфраструктуры и инженерного обустройства поселения, оздоровление окружа­ющей среды, обогащение культурной жизни, повышение пре­стижности проживания в сельской местности и качества жизни населения</w:t>
            </w:r>
          </w:p>
        </w:tc>
      </w:tr>
      <w:tr>
        <w:trPr>
          <w:trHeight w:val="5808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Задачи 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numPr>
                <w:ilvl w:val="0"/>
                <w:numId w:val="41"/>
              </w:numPr>
              <w:tabs>
                <w:tab w:val="left" w:pos="954" w:leader="none"/>
              </w:tabs>
              <w:spacing w:before="0" w:after="0" w:line="274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развитие транспортной инфраструктуры - содержание и ремонт дорог общего пользования в границах населенных пунктов </w:t>
            </w:r>
          </w:p>
          <w:p>
            <w:pPr>
              <w:spacing w:before="0" w:after="0" w:line="274"/>
              <w:ind w:right="0" w:left="0" w:firstLine="98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- повышение энергетической эффективности при по­треблении энергетических ресурсов, создание условий для перевода организаций и уличного освещения на энергосбере­гающий путь развития;</w:t>
            </w:r>
          </w:p>
          <w:p>
            <w:pPr>
              <w:numPr>
                <w:ilvl w:val="0"/>
                <w:numId w:val="43"/>
              </w:numPr>
              <w:tabs>
                <w:tab w:val="left" w:pos="1016" w:leader="none"/>
              </w:tabs>
              <w:spacing w:before="0" w:after="0" w:line="274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максимальное освещение населенных пунктов посе­ления;</w:t>
            </w:r>
          </w:p>
          <w:p>
            <w:pPr>
              <w:numPr>
                <w:ilvl w:val="0"/>
                <w:numId w:val="43"/>
              </w:numPr>
              <w:tabs>
                <w:tab w:val="left" w:pos="954" w:leader="none"/>
              </w:tabs>
              <w:spacing w:before="0" w:after="0" w:line="274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повышение уровня газификации домов сетевым газом;</w:t>
            </w:r>
          </w:p>
          <w:p>
            <w:pPr>
              <w:numPr>
                <w:ilvl w:val="0"/>
                <w:numId w:val="43"/>
              </w:numPr>
              <w:tabs>
                <w:tab w:val="left" w:pos="954" w:leader="none"/>
              </w:tabs>
              <w:spacing w:before="0" w:after="0" w:line="274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создание комфортных и безопасных условий прожива­ния населения;</w:t>
            </w:r>
          </w:p>
          <w:p>
            <w:pPr>
              <w:numPr>
                <w:ilvl w:val="0"/>
                <w:numId w:val="43"/>
              </w:numPr>
              <w:tabs>
                <w:tab w:val="left" w:pos="944" w:leader="none"/>
              </w:tabs>
              <w:spacing w:before="0" w:after="0" w:line="274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организация сбора и вывоза мусора;</w:t>
            </w:r>
          </w:p>
          <w:p>
            <w:pPr>
              <w:numPr>
                <w:ilvl w:val="0"/>
                <w:numId w:val="43"/>
              </w:numPr>
              <w:tabs>
                <w:tab w:val="left" w:pos="944" w:leader="none"/>
              </w:tabs>
              <w:spacing w:before="0" w:after="0" w:line="274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благоустройство территории поселения;</w:t>
            </w:r>
          </w:p>
          <w:p>
            <w:pPr>
              <w:numPr>
                <w:ilvl w:val="0"/>
                <w:numId w:val="43"/>
              </w:numPr>
              <w:tabs>
                <w:tab w:val="left" w:pos="963" w:leader="none"/>
              </w:tabs>
              <w:spacing w:before="0" w:after="0" w:line="274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создание условий для труда и отдыха молодежи посе­ления;</w:t>
            </w:r>
          </w:p>
          <w:p>
            <w:pPr>
              <w:numPr>
                <w:ilvl w:val="0"/>
                <w:numId w:val="43"/>
              </w:numPr>
              <w:tabs>
                <w:tab w:val="left" w:pos="978" w:leader="none"/>
              </w:tabs>
              <w:spacing w:before="0" w:after="0" w:line="274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повышение занятости и уровня жизни сельского насе­ления;</w:t>
            </w:r>
          </w:p>
          <w:p>
            <w:pPr>
              <w:numPr>
                <w:ilvl w:val="0"/>
                <w:numId w:val="43"/>
              </w:numPr>
              <w:tabs>
                <w:tab w:val="left" w:pos="1030" w:leader="none"/>
              </w:tabs>
              <w:spacing w:before="0" w:after="0" w:line="274"/>
              <w:ind w:right="0" w:left="0" w:firstLine="72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обеспечение условий для развития на территории по­селения физической культуры и спорта</w:t>
            </w:r>
          </w:p>
        </w:tc>
      </w:tr>
      <w:tr>
        <w:trPr>
          <w:trHeight w:val="562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Сроки реализации 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2016 -2025 гг.</w:t>
            </w:r>
          </w:p>
        </w:tc>
      </w:tr>
      <w:tr>
        <w:trPr>
          <w:trHeight w:val="835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Ответственный</w:t>
            </w:r>
          </w:p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исполнитель</w:t>
            </w:r>
          </w:p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Администрация Тростянского сельского поселения</w:t>
            </w:r>
          </w:p>
        </w:tc>
      </w:tr>
      <w:tr>
        <w:trPr>
          <w:trHeight w:val="1123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Участники 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Предприятия, учреждения и организации различных форм собственности, индивидуальные предприниматели, осуществляющие свою деятельность на территории поселения, население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"/>
          <w:shd w:fill="auto" w:val="clear"/>
        </w:rPr>
      </w:pPr>
    </w:p>
    <w:tbl>
      <w:tblPr>
        <w:tblInd w:w="45" w:type="dxa"/>
      </w:tblPr>
      <w:tblGrid>
        <w:gridCol w:w="2885"/>
        <w:gridCol w:w="7224"/>
      </w:tblGrid>
      <w:tr>
        <w:trPr>
          <w:trHeight w:val="840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Объемы и источники</w:t>
            </w:r>
          </w:p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финансирования</w:t>
            </w:r>
          </w:p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Бюджет Тростянского сельского поселения</w:t>
            </w:r>
          </w:p>
        </w:tc>
      </w:tr>
      <w:tr>
        <w:trPr>
          <w:trHeight w:val="3048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40" w:line="278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Ожидаемые конечные результаты</w:t>
            </w:r>
          </w:p>
          <w:p>
            <w:pPr>
              <w:spacing w:before="24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реализации 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. Комплексное развитие Тростянского сельского поселения.</w:t>
            </w:r>
          </w:p>
          <w:p>
            <w:pPr>
              <w:spacing w:before="0" w:after="0" w:line="274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. Повышение качества жизни жителей поселения.</w:t>
            </w:r>
          </w:p>
          <w:p>
            <w:pPr>
              <w:spacing w:before="0" w:after="0" w:line="274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. Положительная динамика занятости населения.</w:t>
            </w:r>
          </w:p>
          <w:p>
            <w:pPr>
              <w:spacing w:before="0" w:after="0" w:line="274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. Устойчивый рост развития ЛПХ и доходов населения.</w:t>
            </w:r>
          </w:p>
          <w:p>
            <w:pPr>
              <w:spacing w:before="0" w:after="0" w:line="274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. Устойчивое развитие предпринимательства.</w:t>
            </w:r>
          </w:p>
          <w:p>
            <w:pPr>
              <w:spacing w:before="0" w:after="0" w:line="274"/>
              <w:ind w:right="0" w:left="44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. Положительная динамика в деятельности социальной сферы и сферы обслуживания населения.</w:t>
            </w:r>
          </w:p>
          <w:p>
            <w:pPr>
              <w:spacing w:before="0" w:after="0" w:line="274"/>
              <w:ind w:right="0" w:left="44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. Обеспечение личной и общественной безопасности населения.</w:t>
            </w:r>
          </w:p>
          <w:p>
            <w:pPr>
              <w:spacing w:before="0" w:after="0" w:line="274"/>
              <w:ind w:right="0" w:left="44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. Эффективное использование бюджетных средств и муниципального имущества.</w:t>
            </w:r>
          </w:p>
        </w:tc>
      </w:tr>
      <w:tr>
        <w:trPr>
          <w:trHeight w:val="845" w:hRule="auto"/>
          <w:jc w:val="center"/>
        </w:trPr>
        <w:tc>
          <w:tcPr>
            <w:tcW w:w="28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Система контроля за</w:t>
            </w:r>
          </w:p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реализацией</w:t>
            </w:r>
          </w:p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Программы</w:t>
            </w:r>
          </w:p>
        </w:tc>
        <w:tc>
          <w:tcPr>
            <w:tcW w:w="7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Контроль за реализацией Программы осуществляют глава Тростянского сельского поселения, Дума Тростянского сельского поселения.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"/>
          <w:shd w:fill="auto" w:val="clear"/>
        </w:rPr>
      </w:pPr>
    </w:p>
    <w:p>
      <w:pPr>
        <w:spacing w:before="254" w:after="0" w:line="274"/>
        <w:ind w:right="400" w:left="40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Муниципальная программа социально-экономического развития Тростянского сельского поселения Новоаннинского муниципального района Волгоградской области на период 2016-2025 гг. (далее - Программа) разработана на основе Федерально­го закона N 131-Ф3 "Об общих принципах организации местного самоуправления в Российской Федерации" и анализа основных социально - экономических харак­теристик сельского поселения.</w:t>
      </w:r>
    </w:p>
    <w:p>
      <w:pPr>
        <w:spacing w:before="0" w:after="0" w:line="317"/>
        <w:ind w:right="400" w:left="40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Программа комплексного социально-экономического развития сельского по­селения содержит четкое представление о стратегических целях, ресурсах, потен­циале и об основных направлениях социально-экономического (устойчивого) раз­вития поселения на среднесрочную перспективу.</w:t>
      </w:r>
    </w:p>
    <w:p>
      <w:pPr>
        <w:spacing w:before="0" w:after="0" w:line="317"/>
        <w:ind w:right="400" w:left="40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Цели развития поселения и программные мероприятия, а также необходи­мые для их реализации ресурсы, обозначенные в Программе, могут ежегодно кор­ректироваться и дополняться в зависимости от складывающейся ситуации, изме­нения внутренних и внешних условий. Считается возможным корректировать Про­грамму с представлением изменений текста Программы, проектов, плана меро­приятий и сметы расходов в Думу Тростянского сельского поселения.</w:t>
      </w:r>
    </w:p>
    <w:p>
      <w:pPr>
        <w:spacing w:before="0" w:after="0" w:line="317"/>
        <w:ind w:right="400" w:left="40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Разработка настоящей Программы обусловлена необходимостью определе­ния приоритетных по социальной значимости стратегических линий устойчивого развития Тростянского сельского поселения - доступных для потенциала террито­рии, адекватных географическому, демографическому, экономическому, социо­культурному потенциалу, перспективных и актуальных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>
      <w:pPr>
        <w:spacing w:before="0" w:after="0" w:line="317"/>
        <w:ind w:right="400" w:left="40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Главной целью Программы является повышение качества жизни населения, его занятости и самозанятости, экономических, социальных и культурных возмож­ностей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получе­ния высоких и устойчивых доходов, доступность широкого спектра социальных</w:t>
      </w:r>
    </w:p>
    <w:p>
      <w:pPr>
        <w:spacing w:before="0" w:after="160" w:line="317"/>
        <w:ind w:right="20" w:left="2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услуг, соблюдение высоких экологических стандартов жизни. В первую очередь это налаживание эффективного управления, рационального использования фи­нансов и собственности. Многие из предлагаемых в Программе мер не требуют масштабных бюджетных вложений, затрат.</w:t>
      </w:r>
    </w:p>
    <w:p>
      <w:pPr>
        <w:spacing w:before="0" w:after="321" w:line="418"/>
        <w:ind w:right="200" w:left="20" w:firstLine="92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u w:val="single"/>
          <w:shd w:fill="auto" w:val="clear"/>
        </w:rPr>
        <w:t xml:space="preserve">Раздел 1.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Характеристика существующего состояния социальной инфра­структуры Тростянского сельского поселения</w:t>
      </w:r>
    </w:p>
    <w:p>
      <w:pPr>
        <w:spacing w:before="0" w:after="321" w:line="418"/>
        <w:ind w:right="200" w:left="20" w:firstLine="92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3"/>
          <w:shd w:fill="auto" w:val="clear"/>
        </w:rPr>
        <w:t xml:space="preserve">1.1 Описание социально - экономического состояния 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Тростянское сельское поселение граничит с Киквидзенским муниципальным районом городским округом г.Михайловка, Новокиевским сельским поселением. Административным центром Тростянского сельского поселения является п.Тростянский, расположен в 75 км от районного центра г.Новоаннинский. 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Территория Тростянского сельского поселения Новоаннинского муниципального района включает сельские населенные пункты, образованные исходя из историче­ски сложившегося расселения, социально-экономических и культурных связей территорий.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Территорию Тростянского сельского поселения составляют земли населен­ных пунктов, земли сельскохозяйственного назначения, земли промышленности, транспорта, связи, земли лесного, водного фонда.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Общая площадь сельского поселения в административных границах состав­ляет 24382.9 га. В состав территории сельского поселения входят 4 населенных пункта.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Наиболее крупный населенный пункт — п. Тростянский. Главные от­расли хозяйства сельского поселения -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земледелие, ското­водство.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Путями сообщения служат грунтовые дороги, хорошо проходимые в сухое время года. В Тростянском сельском поселении проходит автомагистраль с авто­бусным сообщением.</w:t>
      </w:r>
    </w:p>
    <w:p>
      <w:pPr>
        <w:spacing w:before="0" w:after="0" w:line="317"/>
        <w:ind w:right="20" w:left="20" w:firstLine="92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Основой экономической базы Тростянского сельского поселения является предприятия сельскохозяйственного производства, предпринимательская деятель­ность.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Основную часть  земель Тростянского сельского поселения составляют земли сельскохозяйственного назначения, не­большая плотность населения, отсутствие вредных экологически опасных произ­водств создают предпосылки формирования экологически чистого района.</w:t>
      </w:r>
    </w:p>
    <w:p>
      <w:pPr>
        <w:spacing w:before="0" w:after="0" w:line="317"/>
        <w:ind w:right="20" w:left="20" w:firstLine="4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 состоянию на 01.01.2016 г на территории Тростянского сельского поселения находится 4 населенных пункта, численность населения которых составляет -</w:t>
      </w:r>
      <w:r>
        <w:rPr>
          <w:rFonts w:ascii="Arial" w:hAnsi="Arial" w:cs="Arial" w:eastAsia="Arial"/>
          <w:color w:val="00B050"/>
          <w:spacing w:val="0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1047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человек .</w:t>
      </w:r>
    </w:p>
    <w:p>
      <w:pPr>
        <w:spacing w:before="0" w:after="0" w:line="413"/>
        <w:ind w:right="20" w:left="20" w:firstLine="4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жизнедеятельно­сти человека. Согласно статистическим показателям и сделанным на их основе</w:t>
      </w:r>
    </w:p>
    <w:p>
      <w:pPr>
        <w:spacing w:before="0" w:after="878" w:line="413"/>
        <w:ind w:right="220" w:left="1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оценкам, динамика демографического развития Тростянского сельского поселения характеризуется следующими показателями (таблица 1)</w:t>
      </w:r>
    </w:p>
    <w:p>
      <w:pPr>
        <w:spacing w:before="0" w:after="0" w:line="23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Таблица 1</w:t>
      </w:r>
    </w:p>
    <w:tbl>
      <w:tblPr>
        <w:tblInd w:w="45" w:type="dxa"/>
      </w:tblPr>
      <w:tblGrid>
        <w:gridCol w:w="4584"/>
        <w:gridCol w:w="1498"/>
        <w:gridCol w:w="1493"/>
        <w:gridCol w:w="2107"/>
      </w:tblGrid>
      <w:tr>
        <w:trPr>
          <w:trHeight w:val="490" w:hRule="auto"/>
          <w:jc w:val="center"/>
        </w:trPr>
        <w:tc>
          <w:tcPr>
            <w:tcW w:w="4584" w:type="dxa"/>
            <w:vMerge w:val="restart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480" w:line="240"/>
              <w:ind w:right="0" w:left="72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Наименование показателя</w:t>
            </w:r>
          </w:p>
          <w:p>
            <w:pPr>
              <w:spacing w:before="480" w:after="0" w:line="322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Численность населения поселения, че­ловек</w:t>
            </w:r>
          </w:p>
        </w:tc>
        <w:tc>
          <w:tcPr>
            <w:tcW w:w="5098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6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Факт</w:t>
            </w:r>
          </w:p>
        </w:tc>
      </w:tr>
      <w:tr>
        <w:trPr>
          <w:trHeight w:val="485" w:hRule="auto"/>
          <w:jc w:val="center"/>
        </w:trPr>
        <w:tc>
          <w:tcPr>
            <w:tcW w:w="458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26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8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2011 г.</w:t>
            </w:r>
          </w:p>
        </w:tc>
        <w:tc>
          <w:tcPr>
            <w:tcW w:w="14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2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2012 г.</w:t>
            </w:r>
          </w:p>
        </w:tc>
        <w:tc>
          <w:tcPr>
            <w:tcW w:w="210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2013 г.</w:t>
            </w:r>
          </w:p>
        </w:tc>
      </w:tr>
      <w:tr>
        <w:trPr>
          <w:trHeight w:val="802" w:hRule="auto"/>
          <w:jc w:val="center"/>
        </w:trPr>
        <w:tc>
          <w:tcPr>
            <w:tcW w:w="4584" w:type="dxa"/>
            <w:vMerge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1121</w:t>
            </w:r>
          </w:p>
        </w:tc>
        <w:tc>
          <w:tcPr>
            <w:tcW w:w="14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2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1104</w:t>
            </w:r>
          </w:p>
        </w:tc>
        <w:tc>
          <w:tcPr>
            <w:tcW w:w="210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1103</w:t>
            </w:r>
          </w:p>
        </w:tc>
      </w:tr>
      <w:tr>
        <w:trPr>
          <w:trHeight w:val="490" w:hRule="auto"/>
          <w:jc w:val="center"/>
        </w:trPr>
        <w:tc>
          <w:tcPr>
            <w:tcW w:w="45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Число родившихся, человек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20</w:t>
            </w:r>
          </w:p>
        </w:tc>
        <w:tc>
          <w:tcPr>
            <w:tcW w:w="14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7</w:t>
            </w:r>
          </w:p>
        </w:tc>
        <w:tc>
          <w:tcPr>
            <w:tcW w:w="210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9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10</w:t>
            </w:r>
          </w:p>
        </w:tc>
      </w:tr>
      <w:tr>
        <w:trPr>
          <w:trHeight w:val="485" w:hRule="auto"/>
          <w:jc w:val="center"/>
        </w:trPr>
        <w:tc>
          <w:tcPr>
            <w:tcW w:w="45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Число умерших, человек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14</w:t>
            </w:r>
          </w:p>
        </w:tc>
        <w:tc>
          <w:tcPr>
            <w:tcW w:w="14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7</w:t>
            </w:r>
          </w:p>
        </w:tc>
        <w:tc>
          <w:tcPr>
            <w:tcW w:w="210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9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9</w:t>
            </w:r>
          </w:p>
        </w:tc>
      </w:tr>
      <w:tr>
        <w:trPr>
          <w:trHeight w:val="802" w:hRule="auto"/>
          <w:jc w:val="center"/>
        </w:trPr>
        <w:tc>
          <w:tcPr>
            <w:tcW w:w="45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Естественный прирост (+) / убыль (-), человек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+6</w:t>
            </w:r>
          </w:p>
        </w:tc>
        <w:tc>
          <w:tcPr>
            <w:tcW w:w="14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0</w:t>
            </w:r>
          </w:p>
        </w:tc>
        <w:tc>
          <w:tcPr>
            <w:tcW w:w="210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9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- 1</w:t>
            </w:r>
          </w:p>
        </w:tc>
      </w:tr>
      <w:tr>
        <w:trPr>
          <w:trHeight w:val="802" w:hRule="auto"/>
          <w:jc w:val="center"/>
        </w:trPr>
        <w:tc>
          <w:tcPr>
            <w:tcW w:w="458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Миграционный прирост (+) / убыль (-), человек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- 9</w:t>
            </w:r>
          </w:p>
        </w:tc>
        <w:tc>
          <w:tcPr>
            <w:tcW w:w="14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58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- 17</w:t>
            </w:r>
          </w:p>
        </w:tc>
        <w:tc>
          <w:tcPr>
            <w:tcW w:w="210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9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- 2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13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 период с 2011 по 2013 гг. численность населения поселения непрерывно снижалась.</w:t>
      </w:r>
    </w:p>
    <w:p>
      <w:pPr>
        <w:spacing w:before="0" w:after="0" w:line="413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Структура населения сельского поселения по отношению к трудоспособному возрасту приведена в таблице 2.</w:t>
      </w:r>
    </w:p>
    <w:p>
      <w:pPr>
        <w:spacing w:before="0" w:after="0" w:line="413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Таблица 2.</w:t>
      </w:r>
    </w:p>
    <w:tbl>
      <w:tblPr>
        <w:tblInd w:w="45" w:type="dxa"/>
      </w:tblPr>
      <w:tblGrid>
        <w:gridCol w:w="917"/>
        <w:gridCol w:w="3672"/>
        <w:gridCol w:w="1498"/>
        <w:gridCol w:w="1502"/>
        <w:gridCol w:w="1382"/>
      </w:tblGrid>
      <w:tr>
        <w:trPr>
          <w:trHeight w:val="504" w:hRule="auto"/>
          <w:jc w:val="center"/>
        </w:trPr>
        <w:tc>
          <w:tcPr>
            <w:tcW w:w="9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№ п/п</w:t>
            </w:r>
          </w:p>
        </w:tc>
        <w:tc>
          <w:tcPr>
            <w:tcW w:w="36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18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Показатель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2011 г.</w:t>
            </w:r>
          </w:p>
        </w:tc>
        <w:tc>
          <w:tcPr>
            <w:tcW w:w="15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420" w:left="0" w:firstLine="0"/>
              <w:jc w:val="righ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2012 г.</w:t>
            </w:r>
          </w:p>
        </w:tc>
        <w:tc>
          <w:tcPr>
            <w:tcW w:w="138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60" w:left="0" w:firstLine="0"/>
              <w:jc w:val="righ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2013 г.</w:t>
            </w:r>
          </w:p>
        </w:tc>
      </w:tr>
      <w:tr>
        <w:trPr>
          <w:trHeight w:val="1133" w:hRule="auto"/>
          <w:jc w:val="center"/>
        </w:trPr>
        <w:tc>
          <w:tcPr>
            <w:tcW w:w="9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1</w:t>
            </w:r>
          </w:p>
        </w:tc>
        <w:tc>
          <w:tcPr>
            <w:tcW w:w="36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Численность населения младше трудоспособного 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00"/>
                  <w:spacing w:val="0"/>
                  <w:position w:val="0"/>
                  <w:sz w:val="23"/>
                  <w:u w:val="single"/>
                  <w:shd w:fill="auto" w:val="clear"/>
                </w:rPr>
                <w:t xml:space="preserve">возраста, чел.</w:t>
              </w:r>
            </w:hyperlink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221</w:t>
            </w:r>
          </w:p>
          <w:p>
            <w:pPr>
              <w:spacing w:before="0" w:after="0" w:line="317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(19.7 % )</w:t>
            </w:r>
          </w:p>
        </w:tc>
        <w:tc>
          <w:tcPr>
            <w:tcW w:w="15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2"/>
              <w:ind w:right="42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216 </w:t>
            </w:r>
          </w:p>
          <w:p>
            <w:pPr>
              <w:spacing w:before="0" w:after="0" w:line="322"/>
              <w:ind w:right="42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( 19.5%)</w:t>
            </w:r>
          </w:p>
        </w:tc>
        <w:tc>
          <w:tcPr>
            <w:tcW w:w="138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2"/>
              <w:ind w:right="36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228</w:t>
            </w:r>
          </w:p>
          <w:p>
            <w:pPr>
              <w:spacing w:before="0" w:after="0" w:line="322"/>
              <w:ind w:right="36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(20.6%)</w:t>
            </w:r>
          </w:p>
        </w:tc>
      </w:tr>
      <w:tr>
        <w:trPr>
          <w:trHeight w:val="811" w:hRule="auto"/>
          <w:jc w:val="center"/>
        </w:trPr>
        <w:tc>
          <w:tcPr>
            <w:tcW w:w="9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2</w:t>
            </w:r>
          </w:p>
        </w:tc>
        <w:tc>
          <w:tcPr>
            <w:tcW w:w="36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Численность населения тру­доспособного возраста, чел.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627 </w:t>
            </w:r>
          </w:p>
          <w:p>
            <w:pPr>
              <w:spacing w:before="0" w:after="0" w:line="317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( 55.9%)</w:t>
            </w:r>
          </w:p>
        </w:tc>
        <w:tc>
          <w:tcPr>
            <w:tcW w:w="15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42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620</w:t>
            </w:r>
          </w:p>
          <w:p>
            <w:pPr>
              <w:spacing w:before="0" w:after="0" w:line="317"/>
              <w:ind w:right="42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( 56,1%)</w:t>
            </w:r>
          </w:p>
        </w:tc>
        <w:tc>
          <w:tcPr>
            <w:tcW w:w="138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36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594 </w:t>
            </w:r>
          </w:p>
          <w:p>
            <w:pPr>
              <w:spacing w:before="0" w:after="0" w:line="317"/>
              <w:ind w:right="36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( 53.8%)</w:t>
            </w:r>
          </w:p>
        </w:tc>
      </w:tr>
      <w:tr>
        <w:trPr>
          <w:trHeight w:val="1147" w:hRule="auto"/>
          <w:jc w:val="center"/>
        </w:trPr>
        <w:tc>
          <w:tcPr>
            <w:tcW w:w="9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3</w:t>
            </w:r>
          </w:p>
        </w:tc>
        <w:tc>
          <w:tcPr>
            <w:tcW w:w="36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Численность населения стар­ше трудоспособного возраста, чел.</w:t>
            </w:r>
          </w:p>
        </w:tc>
        <w:tc>
          <w:tcPr>
            <w:tcW w:w="14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2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273 </w:t>
            </w:r>
          </w:p>
          <w:p>
            <w:pPr>
              <w:spacing w:before="0" w:after="0" w:line="322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( 24.3%)</w:t>
            </w:r>
          </w:p>
        </w:tc>
        <w:tc>
          <w:tcPr>
            <w:tcW w:w="150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2"/>
              <w:ind w:right="42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268 (24.2%)</w:t>
            </w:r>
          </w:p>
        </w:tc>
        <w:tc>
          <w:tcPr>
            <w:tcW w:w="138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6"/>
              <w:ind w:right="360" w:left="0" w:firstLine="0"/>
              <w:jc w:val="right"/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auto" w:val="clear"/>
              </w:rPr>
              <w:t xml:space="preserve">281 (25.4%)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"/>
          <w:shd w:fill="auto" w:val="clear"/>
        </w:rPr>
      </w:pPr>
    </w:p>
    <w:p>
      <w:pPr>
        <w:spacing w:before="220" w:after="240" w:line="317"/>
        <w:ind w:right="220" w:left="120" w:firstLine="7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Из анализа наличия трудовых ресурсов можно констатировать , что при ор­ганизации новых видов производств , либо расширения существующих , поселе­ние обладает достаточным потенциалом трудовых ресурсов , который может быть привлечен и задействован . Однако уровень профессиональной подготовки трудо­вых ресурсов может не всегда соответствовать потребностям предприятий и обу­словит необходимость проведения мероприятий по переподготовке кадров и по­вышению квалификации 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Неблагоприятной остается возрастная структура населения сельского посе­ления, ее можно отнести к регрессивному типу. Процесс старения населения со­провождается ростом среднего возраста населения и изменения возрастной структуры населения - снижением доли детей и ростом доли старших возрастов.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Регрессивный тип возрастной структуры населения определяет не только социально-экономическое положение и репродуктивные особенности, но и способствует росту возрастно-зависимой патологии (за счет заболеваний, свой­ственных старшим возрастным группам) и общей смертности. Это означает, что особое внимание нужно уделить развитию системы медицинского обслуживания, а также организации/содержанию мест захоронения.</w:t>
      </w:r>
    </w:p>
    <w:p>
      <w:pPr>
        <w:spacing w:before="0" w:after="0" w:line="317"/>
        <w:ind w:right="20" w:left="20" w:firstLine="8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Естественная убыль населения, обусловленная как снижением рождаемо­сти, так и увеличением смертности - это долговременная тенденция, которая ограничивает возможности наращивания экономически активного, трудоспособно­го населения, создает предпосылки для дефицита рабочей силы в условиях пред­полагаемого экономического роста.</w:t>
      </w:r>
    </w:p>
    <w:p>
      <w:pPr>
        <w:spacing w:before="0" w:after="0" w:line="317"/>
        <w:ind w:right="20" w:left="2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Оценка перспективного изменения численности населения в достаточно широком временном диапазоне (на 25 лет) требует построения трех вариантов прогноза (условно «инерционный», «стабилизационный» и «инновационный»). Они необхо­димы в условиях поливариантности дальнейшего социально-экономического раз­вития территории сельского поселения.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Прогнозные расчеты численности населения выполнены с использованием метода "передвижки возрастов", который соответствует логике старения и обнов­ления населения. При этом учитывались следующие:</w:t>
      </w:r>
    </w:p>
    <w:p>
      <w:pPr>
        <w:spacing w:before="0" w:after="0" w:line="317"/>
        <w:ind w:right="20" w:left="2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Согласно «инерционному» сценарию демографические показатели будут изме­няться в сторону ухудшения демографической ситуации. Ежегодное число при­бывших - (-9) чел., ожидаемая продолжительность жизни при рождении мужчины (58,5 лет) и женщины (71,8 лет), коэффициент младенческой смертности останет­ся равным 9,4%о, а коэффициент суммарной рождаемости - 1,4.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 основу «стабилизационного» сценария прогноза была положена гипотеза медленной стабилизации демографических показателей с небольшим улучшени­ем демографической ситуации. Согласно этой гипотезе будет происходить медленное повышение рождаемости до уровня 1,5 на одну женщину в фертильном возрасте, ежегод­ное число прибывших составит 3 чел. Ожидаемая продолжительность жизни при рождении мужчины и женщины останется прежней.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«Инновационный» сценарий основывался на более существенном росте ро­ждаемости - до 1,7 рождений на одну женщину в фертильном возрасте, увеличе­нии продолжительности жизни на 3 и 2 года соответственно у мужчин и женщин, дальнейшем, увеличе­ние ежегодного числа прибывших до 10 чел.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Для всех сценариев постоянными показателями являются: средний возраст матери при рождении ребенка равный 25,8 годам, доля мальчиков среди родив­шихся - 0,52,</w:t>
      </w:r>
    </w:p>
    <w:p>
      <w:pPr>
        <w:spacing w:before="0" w:after="227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Важно отметить, что в современных условиях необходимо стремиться к ре­ализации инновационного сценария в полном объеме, проводя осмысленную де­мографическую и миграционную политику, а также способствуя развитию  </w:t>
      </w:r>
      <w:r>
        <w:rPr>
          <w:rFonts w:ascii="Arial" w:hAnsi="Arial" w:cs="Arial" w:eastAsia="Arial"/>
          <w:color w:val="00B050"/>
          <w:spacing w:val="0"/>
          <w:position w:val="0"/>
          <w:sz w:val="23"/>
          <w:shd w:fill="auto" w:val="clear"/>
        </w:rPr>
        <w:t xml:space="preserve">урбанизационных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 процессов. В связи с этим за основу при планировании социально- экономического развития поселения принимается инновационный сценарий.</w:t>
      </w:r>
    </w:p>
    <w:p>
      <w:pPr>
        <w:spacing w:before="0" w:after="0" w:line="408"/>
        <w:ind w:right="20" w:left="20" w:firstLine="48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1.2 Технико - экономические параметры существующих объектов социаль­ной инфраструктуры.</w:t>
      </w:r>
    </w:p>
    <w:p>
      <w:pPr>
        <w:spacing w:before="0" w:after="0" w:line="317"/>
        <w:ind w:right="20" w:left="20" w:firstLine="68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 Прогнозируемый спрос на услуги социальной инфраструктуры Тростянского сельского поселения.</w:t>
      </w:r>
    </w:p>
    <w:p>
      <w:pPr>
        <w:spacing w:before="0" w:after="0" w:line="317"/>
        <w:ind w:right="20" w:left="20" w:firstLine="4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Приоритетным направлением социально-экономического развития в сельском поселении на 2016 год и на период до 2025 года является обеспечение темпов экономического роста, повышение уровня и качества жизни населения, формиро­вание благоприятных условий для жизнедеятельности.</w:t>
      </w:r>
    </w:p>
    <w:p>
      <w:pPr>
        <w:spacing w:before="0" w:after="370" w:line="317"/>
        <w:ind w:right="20" w:left="20" w:firstLine="4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Развитие территории сельского поселения до 2025 года предусматривается за счет развития следующих направлений.</w:t>
      </w:r>
    </w:p>
    <w:p>
      <w:pPr>
        <w:spacing w:before="0" w:after="179" w:line="230"/>
        <w:ind w:right="0" w:left="20" w:firstLine="100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1.3.1 Дорожное хозяйство</w:t>
      </w:r>
    </w:p>
    <w:p>
      <w:pPr>
        <w:spacing w:before="0" w:after="0" w:line="317"/>
        <w:ind w:right="20" w:left="20" w:firstLine="10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Протяженность автомобильных дорог общего пользования местного зна­чения в Тростянском сельском поселении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составляет 76.8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км, в том числе с твердым покрытием 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68.1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км.</w:t>
      </w:r>
    </w:p>
    <w:p>
      <w:pPr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Автодороги с асфальтобетонным покрытием находятся в не удовлетворитель­ном состоянии, как правило требуют ремонта.</w:t>
      </w:r>
    </w:p>
    <w:p>
      <w:pPr>
        <w:spacing w:before="0" w:after="370" w:line="317"/>
        <w:ind w:right="20" w:left="20" w:firstLine="4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Многие автомобильные дороги общего пользования местного значения имеют грунтовое покрытие, что существенно мешает социально-экономическому разви­тию района и негативно сказывается на безопасности дорожного движения и ско­рости движения, а также приводит к повышенному износу транспортных средств и дополнительному расходу топлива. На протяжении последних лет наблюдается тенденция к увеличению числа автомобилей на территории Тростянского сельско­го поселения . Основной прирост этого показателя осуществляется за счёт увели­чения числа легковых автомобилей находящихся в собственности граждан (в среднем по 3% в год).</w:t>
      </w:r>
    </w:p>
    <w:p>
      <w:pPr>
        <w:spacing w:before="0" w:after="179" w:line="230"/>
        <w:ind w:right="0" w:left="20" w:firstLine="48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1.3.2 Жилищно-коммунальное хозяйство.</w:t>
      </w:r>
    </w:p>
    <w:p>
      <w:pPr>
        <w:spacing w:before="0" w:after="0" w:line="317"/>
        <w:ind w:right="20" w:left="20" w:firstLine="4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Главной задачей жилищного хозяйства в первую очередь является улучше­ние жилищных условий населения, проживающего на территории Тростянского сельского поселения.</w:t>
      </w:r>
    </w:p>
    <w:p>
      <w:pPr>
        <w:spacing w:before="0" w:after="370" w:line="317"/>
        <w:ind w:right="20" w:left="20" w:firstLine="4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На территории сельского поселения  нет резервного жилья для переселения из ветхого и аварийного. Улучшаются жилищные условия в основном за счет приобретения вторичного жилья.</w:t>
      </w:r>
    </w:p>
    <w:p>
      <w:pPr>
        <w:spacing w:before="0" w:after="179" w:line="230"/>
        <w:ind w:right="0" w:left="20" w:firstLine="68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1.3.3 Коммунальное хозяйство.</w:t>
      </w:r>
    </w:p>
    <w:p>
      <w:pPr>
        <w:spacing w:before="0" w:after="49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Приоритетным направлением в ведении коммунального хозяйства является создание системы коммунальной инфраструктуры, обеспечивающей предоставле­ние качественных коммунальных услуг при приемлемых для населения тарифах, а также отвечающей экологическим требованиям и потребностям населения.</w:t>
      </w:r>
    </w:p>
    <w:p>
      <w:pPr>
        <w:spacing w:before="0" w:after="303" w:line="230"/>
        <w:ind w:right="0" w:left="40" w:firstLine="72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1.3.3.1 Водоснабжение</w:t>
      </w:r>
    </w:p>
    <w:p>
      <w:pPr>
        <w:spacing w:before="0" w:after="0" w:line="317"/>
        <w:ind w:right="20" w:left="4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Источником водоснабжения для питьевых и хозяйственно-бытовых целей  служат подземные воды. Другие пригодные для этих целей источники отсутству­ют. В настоящее время вода из подземных источников расходуется как для хозяй­ственно-питьевого водоснабжения, так и для производственных нужд. Вода пода­ется населению круглосуточно. В основном вода используется без водоподготовки.</w:t>
      </w:r>
    </w:p>
    <w:p>
      <w:pPr>
        <w:spacing w:before="0" w:after="0" w:line="317"/>
        <w:ind w:right="20" w:left="4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Водопроводные сети, сельского поселения ветхие. На скважинах отсутству­ют установки по обезжелезиванию и хлорированию воды.</w:t>
      </w:r>
    </w:p>
    <w:p>
      <w:pPr>
        <w:spacing w:before="0" w:after="304" w:line="317"/>
        <w:ind w:right="20" w:left="40" w:firstLine="5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Водопотребление в поселении на хозяйственно-питьевые нужды производит­ся из скважины. </w:t>
      </w:r>
    </w:p>
    <w:p>
      <w:pPr>
        <w:spacing w:before="0" w:after="666" w:line="312"/>
        <w:ind w:right="20" w:left="40" w:firstLine="50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3"/>
          <w:shd w:fill="auto" w:val="clear"/>
        </w:rPr>
        <w:t xml:space="preserve">1.3.3.2 Водоотведение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Отвод канализационных стоков населенных пунктов Тростянского  сельского посе­ления осуществляется в выгребные ямы.</w:t>
      </w:r>
    </w:p>
    <w:p>
      <w:pPr>
        <w:spacing w:before="0" w:after="299" w:line="230"/>
        <w:ind w:right="0" w:left="4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1.3.3.3 Теплоснабжение</w:t>
      </w:r>
    </w:p>
    <w:p>
      <w:pPr>
        <w:spacing w:before="0" w:after="0" w:line="317"/>
        <w:ind w:right="20" w:left="40" w:firstLine="5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 общем обеспечении сельского поселения, топливно-энергетическим ресур­сами преобладает газ.</w:t>
      </w:r>
    </w:p>
    <w:p>
      <w:pPr>
        <w:spacing w:before="0" w:after="370" w:line="317"/>
        <w:ind w:right="20" w:left="4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Состояние теплового хозяйства сельского поселения оценивается как удовлетворительное.</w:t>
      </w:r>
    </w:p>
    <w:p>
      <w:pPr>
        <w:spacing w:before="0" w:after="370" w:line="317"/>
        <w:ind w:right="20" w:left="4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Социально-значимые объекты отапливаются котельными (школа ,детский сад). Частный сектор для целей теплоснаб­жения, горячего водоснабжения имеет индивидуальные источники. Продолжи­тельность отопительного сезона 227 дней. Горячее водоснабжение отсутствует. Население в основном пользуется электроводонагревателями и газовыми колонками. Тепловые сети в поземном и  надземном исполнении. Использование ава­рийного или резервного топлива на источниках централизованного теплоснабже­ния в «пиковом режиме» не предусмотрено, что требует установки дополнитель­ного оборудования.</w:t>
      </w:r>
    </w:p>
    <w:p>
      <w:pPr>
        <w:spacing w:before="0" w:after="174" w:line="230"/>
        <w:ind w:right="0" w:left="40" w:firstLine="50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1.3.3.4 Электроснабжение</w:t>
      </w:r>
    </w:p>
    <w:p>
      <w:pPr>
        <w:spacing w:before="0" w:after="0" w:line="317"/>
        <w:ind w:right="20" w:left="40" w:firstLine="5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На территории Тростянского сельского поселения проложены распределитель­ные линии электропередачи 110 и 10 кВ. В целом в поселении действует полу­кольцевая и линейная системы электроснабжения.</w:t>
      </w:r>
    </w:p>
    <w:p>
      <w:pPr>
        <w:spacing w:before="0" w:after="0" w:line="317"/>
        <w:ind w:right="20" w:left="4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ПАО «Волгоградэнергосбыт» - распределительная сетевая компания, и обеспечивающая транспорт, передачу электро­энергии и подключение потребителей к сетям 0,4-110 кВ. Полномочия по эксплуа­тации электрических сетей переданы производственному отделению ПАО «МРСК-Юга». </w:t>
      </w:r>
    </w:p>
    <w:p>
      <w:pPr>
        <w:spacing w:before="0" w:after="0" w:line="317"/>
        <w:ind w:right="0" w:left="14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Реконструкция и строительство сетей уличного освещения поселка;</w:t>
      </w:r>
    </w:p>
    <w:p>
      <w:pPr>
        <w:spacing w:before="0" w:after="0" w:line="317"/>
        <w:ind w:right="2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 целом существующий уровень электропотребления сельского поселения полностью обеспечивается существующими электросетями. Вместе с тем, часть электрических сетей и подстанций требуют проведения первоочередных работ по реконструкции и техническому перевооружению.</w:t>
      </w:r>
    </w:p>
    <w:p>
      <w:pPr>
        <w:spacing w:before="0" w:after="370" w:line="317"/>
        <w:ind w:right="2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 ближайшие 10-15 лет рост потребления электроэнергии будет опреде­ляться умеренными темпами развития отраслей промышленности, ростом потреб­ления электроэнергии в бытовом секторе. Рост потребления в бытовой сфере - вследствие насыщения квартир изделиями бытовой электро­техники и увеличения размеров жилья. Такие тенденции потребуют размещения в районе новых промышленных, транспортных объектов, ввод нового жилья потре­бует проведение мероприятий по строительству новых электросетевых объектов. </w:t>
      </w:r>
    </w:p>
    <w:p>
      <w:pPr>
        <w:spacing w:before="0" w:after="299" w:line="230"/>
        <w:ind w:right="0" w:left="140" w:firstLine="70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1.3.3.5 Газоснабжение</w:t>
      </w:r>
    </w:p>
    <w:p>
      <w:pPr>
        <w:spacing w:before="0" w:after="0" w:line="317"/>
        <w:ind w:right="20" w:left="140" w:firstLine="4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На территории Новоаннинского района в настоящее время централизованная си­стема газоснабжения населенных пунктов оперативно налажена. Местными жителями ис­пользуется централизованное газоснабжение. Эксплуатацию объектов газа в районе осуществляет филиал ОАО «ГазпромГазраспределениег.Волгоград». </w:t>
      </w:r>
    </w:p>
    <w:p>
      <w:pPr>
        <w:spacing w:before="0" w:after="180" w:line="317"/>
        <w:ind w:right="0" w:left="140" w:firstLine="70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180" w:line="317"/>
        <w:ind w:right="0" w:left="140" w:firstLine="70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1.3.4 Развитие отраслей социальной сферы</w:t>
      </w:r>
    </w:p>
    <w:p>
      <w:pPr>
        <w:spacing w:before="0" w:after="0" w:line="317"/>
        <w:ind w:right="2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Прогнозом на 2016 год и на период до 2025 года определены следующие приоритеты социально-экономического развития Тростянского сельского поселения :</w:t>
      </w:r>
    </w:p>
    <w:p>
      <w:pPr>
        <w:spacing w:before="0" w:after="0" w:line="317"/>
        <w:ind w:right="2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-повышение уровня жизни населения сельского поселения, в т.ч. на основе развития социальной инфраструктуры;</w:t>
      </w:r>
    </w:p>
    <w:p>
      <w:pPr>
        <w:spacing w:before="0" w:after="0" w:line="317"/>
        <w:ind w:right="2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>
      <w:pPr>
        <w:spacing w:before="0" w:after="0" w:line="317"/>
        <w:ind w:right="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-развитие жилищной сферы;</w:t>
      </w:r>
    </w:p>
    <w:p>
      <w:pPr>
        <w:spacing w:before="0" w:after="0" w:line="317"/>
        <w:ind w:right="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-создание условий для гармоничного развития подрастающего поколения;</w:t>
      </w:r>
    </w:p>
    <w:p>
      <w:pPr>
        <w:spacing w:before="0" w:after="250" w:line="317"/>
        <w:ind w:right="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-сохранение культурного наследия.</w:t>
      </w:r>
    </w:p>
    <w:p>
      <w:pPr>
        <w:spacing w:before="0" w:after="186" w:line="230"/>
        <w:ind w:right="0" w:left="140" w:firstLine="40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1.3.4.1.Культура</w:t>
      </w:r>
    </w:p>
    <w:p>
      <w:pPr>
        <w:spacing w:before="0" w:after="0" w:line="312"/>
        <w:ind w:right="2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Предоставление услуг населению в области культуры, библиотеки осуществляют:</w:t>
      </w:r>
    </w:p>
    <w:p>
      <w:pPr>
        <w:spacing w:before="0" w:after="0" w:line="23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Характеристика учреждений культуры Тростянского сельского поселения</w:t>
      </w:r>
    </w:p>
    <w:tbl>
      <w:tblPr>
        <w:tblInd w:w="45" w:type="dxa"/>
      </w:tblPr>
      <w:tblGrid>
        <w:gridCol w:w="605"/>
        <w:gridCol w:w="2640"/>
        <w:gridCol w:w="3120"/>
        <w:gridCol w:w="1133"/>
        <w:gridCol w:w="1939"/>
      </w:tblGrid>
      <w:tr>
        <w:trPr>
          <w:trHeight w:val="326" w:hRule="auto"/>
          <w:jc w:val="center"/>
        </w:trPr>
        <w:tc>
          <w:tcPr>
            <w:tcW w:w="60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№пп</w:t>
            </w:r>
          </w:p>
        </w:tc>
        <w:tc>
          <w:tcPr>
            <w:tcW w:w="264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Название учрежде­ния</w:t>
            </w:r>
          </w:p>
        </w:tc>
        <w:tc>
          <w:tcPr>
            <w:tcW w:w="312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Адрес</w:t>
            </w:r>
          </w:p>
        </w:tc>
        <w:tc>
          <w:tcPr>
            <w:tcW w:w="113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Количе­ство</w:t>
            </w:r>
          </w:p>
        </w:tc>
        <w:tc>
          <w:tcPr>
            <w:tcW w:w="1939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Подчиненность­</w:t>
            </w:r>
          </w:p>
        </w:tc>
      </w:tr>
      <w:tr>
        <w:trPr>
          <w:trHeight w:val="326" w:hRule="auto"/>
          <w:jc w:val="center"/>
        </w:trPr>
        <w:tc>
          <w:tcPr>
            <w:tcW w:w="60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</w:p>
        </w:tc>
        <w:tc>
          <w:tcPr>
            <w:tcW w:w="264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МКУ Центр культуры»администрации Тростянского сельского поселения</w:t>
            </w:r>
          </w:p>
        </w:tc>
        <w:tc>
          <w:tcPr>
            <w:tcW w:w="312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п.Тростянский ул.Советская,3</w:t>
            </w:r>
          </w:p>
        </w:tc>
        <w:tc>
          <w:tcPr>
            <w:tcW w:w="113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</w:p>
        </w:tc>
        <w:tc>
          <w:tcPr>
            <w:tcW w:w="1939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Тростянское сельское поселение</w:t>
            </w:r>
          </w:p>
        </w:tc>
      </w:tr>
      <w:tr>
        <w:trPr>
          <w:trHeight w:val="326" w:hRule="auto"/>
          <w:jc w:val="center"/>
        </w:trPr>
        <w:tc>
          <w:tcPr>
            <w:tcW w:w="60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2</w:t>
            </w:r>
          </w:p>
        </w:tc>
        <w:tc>
          <w:tcPr>
            <w:tcW w:w="264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Сельский клуб х.Попов</w:t>
            </w:r>
          </w:p>
        </w:tc>
        <w:tc>
          <w:tcPr>
            <w:tcW w:w="312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х.Попов пер.Школьный,1</w:t>
            </w:r>
          </w:p>
        </w:tc>
        <w:tc>
          <w:tcPr>
            <w:tcW w:w="113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</w:p>
        </w:tc>
        <w:tc>
          <w:tcPr>
            <w:tcW w:w="1939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Тростянское сельское поселение</w:t>
            </w:r>
          </w:p>
        </w:tc>
      </w:tr>
      <w:tr>
        <w:trPr>
          <w:trHeight w:val="326" w:hRule="auto"/>
          <w:jc w:val="center"/>
        </w:trPr>
        <w:tc>
          <w:tcPr>
            <w:tcW w:w="60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3</w:t>
            </w:r>
          </w:p>
        </w:tc>
        <w:tc>
          <w:tcPr>
            <w:tcW w:w="264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Сельский клуб х.Удодовский</w:t>
            </w:r>
          </w:p>
        </w:tc>
        <w:tc>
          <w:tcPr>
            <w:tcW w:w="312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х.Удодовский пер.Школьный,3</w:t>
            </w:r>
          </w:p>
        </w:tc>
        <w:tc>
          <w:tcPr>
            <w:tcW w:w="113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</w:p>
        </w:tc>
        <w:tc>
          <w:tcPr>
            <w:tcW w:w="1939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Тростянское сельское поселение</w:t>
            </w:r>
          </w:p>
        </w:tc>
      </w:tr>
      <w:tr>
        <w:trPr>
          <w:trHeight w:val="326" w:hRule="auto"/>
          <w:jc w:val="center"/>
        </w:trPr>
        <w:tc>
          <w:tcPr>
            <w:tcW w:w="60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264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Библиотеки</w:t>
            </w:r>
          </w:p>
        </w:tc>
        <w:tc>
          <w:tcPr>
            <w:tcW w:w="312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1939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</w:tr>
      <w:tr>
        <w:trPr>
          <w:trHeight w:val="326" w:hRule="auto"/>
          <w:jc w:val="center"/>
        </w:trPr>
        <w:tc>
          <w:tcPr>
            <w:tcW w:w="60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</w:p>
        </w:tc>
        <w:tc>
          <w:tcPr>
            <w:tcW w:w="264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Тростянская сельская библиотека</w:t>
            </w:r>
          </w:p>
        </w:tc>
        <w:tc>
          <w:tcPr>
            <w:tcW w:w="312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п.Тростянский ул.Советская,3</w:t>
            </w:r>
          </w:p>
        </w:tc>
        <w:tc>
          <w:tcPr>
            <w:tcW w:w="113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</w:p>
        </w:tc>
        <w:tc>
          <w:tcPr>
            <w:tcW w:w="1939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Тростянское сельское поселение</w:t>
            </w:r>
          </w:p>
        </w:tc>
      </w:tr>
      <w:tr>
        <w:trPr>
          <w:trHeight w:val="326" w:hRule="auto"/>
          <w:jc w:val="center"/>
        </w:trPr>
        <w:tc>
          <w:tcPr>
            <w:tcW w:w="60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2</w:t>
            </w:r>
          </w:p>
        </w:tc>
        <w:tc>
          <w:tcPr>
            <w:tcW w:w="264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Поповская сельская библиотека</w:t>
            </w:r>
          </w:p>
        </w:tc>
        <w:tc>
          <w:tcPr>
            <w:tcW w:w="312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х.Попов пер.Школьный,1</w:t>
            </w:r>
          </w:p>
        </w:tc>
        <w:tc>
          <w:tcPr>
            <w:tcW w:w="113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</w:p>
        </w:tc>
        <w:tc>
          <w:tcPr>
            <w:tcW w:w="1939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Тростянское сельское поселение</w:t>
            </w:r>
          </w:p>
        </w:tc>
      </w:tr>
      <w:tr>
        <w:trPr>
          <w:trHeight w:val="780" w:hRule="auto"/>
          <w:jc w:val="center"/>
        </w:trPr>
        <w:tc>
          <w:tcPr>
            <w:tcW w:w="60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264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МБУ «Тростянское»</w:t>
            </w:r>
          </w:p>
        </w:tc>
        <w:tc>
          <w:tcPr>
            <w:tcW w:w="31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п.Тростянский ул.Советская,10</w:t>
            </w:r>
          </w:p>
        </w:tc>
        <w:tc>
          <w:tcPr>
            <w:tcW w:w="113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</w:p>
        </w:tc>
        <w:tc>
          <w:tcPr>
            <w:tcW w:w="193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Тростянское сельское поселение</w:t>
            </w:r>
          </w:p>
        </w:tc>
      </w:tr>
      <w:tr>
        <w:trPr>
          <w:trHeight w:val="0" w:hRule="atLeast"/>
          <w:jc w:val="center"/>
        </w:trPr>
        <w:tc>
          <w:tcPr>
            <w:tcW w:w="9437" w:type="dxa"/>
            <w:gridSpan w:val="5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480" w:line="240"/>
              <w:ind w:right="0" w:left="36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</w:tr>
      <w:tr>
        <w:trPr>
          <w:trHeight w:val="100" w:hRule="auto"/>
          <w:jc w:val="center"/>
        </w:trPr>
        <w:tc>
          <w:tcPr>
            <w:tcW w:w="9437" w:type="dxa"/>
            <w:gridSpan w:val="5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</w:tbl>
    <w:p>
      <w:pPr>
        <w:spacing w:before="220" w:after="0" w:line="317"/>
        <w:ind w:right="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                      В Домах культуры поселения созданы взрослые и детские коллективы, работают               </w:t>
      </w:r>
    </w:p>
    <w:p>
      <w:pPr>
        <w:spacing w:before="220" w:after="0" w:line="317"/>
        <w:ind w:right="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               кружки для взрослых и детей различных направлений: театральные, танцевальные,       </w:t>
      </w:r>
    </w:p>
    <w:p>
      <w:pPr>
        <w:spacing w:before="220" w:after="0" w:line="317"/>
        <w:ind w:right="4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               музыкальные и т.д.</w:t>
      </w:r>
    </w:p>
    <w:p>
      <w:pPr>
        <w:spacing w:before="0" w:after="0" w:line="317"/>
        <w:ind w:right="40" w:left="900" w:firstLine="6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спорта, Дни призывника, проведение единых социальных действий.</w:t>
      </w:r>
    </w:p>
    <w:p>
      <w:pPr>
        <w:spacing w:before="0" w:after="0" w:line="317"/>
        <w:ind w:right="40" w:left="900" w:firstLine="6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Задача в культурно-досуговых учреждениях - вводить инновационные формы организации досуга населения и увеличить процент охвата населения</w:t>
      </w:r>
    </w:p>
    <w:p>
      <w:pPr>
        <w:spacing w:before="0" w:after="850" w:line="317"/>
        <w:ind w:right="40" w:left="900" w:firstLine="6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>
      <w:pPr>
        <w:spacing w:before="0" w:after="174" w:line="230"/>
        <w:ind w:right="0" w:left="900" w:firstLine="34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1.3.4.2.Физическая культура и спорт</w:t>
      </w:r>
    </w:p>
    <w:p>
      <w:pPr>
        <w:spacing w:before="0" w:after="0" w:line="317"/>
        <w:ind w:right="40" w:left="900" w:firstLine="3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Проанализировав показатели можно сделать вывод, что пропаганда здорового образа жизни и занятий спортом Тростянского сельского поселения находится на низком уровне и нуждается в финансировании и развитии спортивно-оздорови­тельной базы.</w:t>
      </w:r>
    </w:p>
    <w:p>
      <w:pPr>
        <w:spacing w:before="0" w:after="0" w:line="317"/>
        <w:ind w:right="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                   В Тростянском сельском поселении ведется спортивная работа в многочисленных           </w:t>
      </w:r>
    </w:p>
    <w:p>
      <w:pPr>
        <w:spacing w:before="0" w:after="0" w:line="317"/>
        <w:ind w:right="4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              секциях.</w:t>
      </w:r>
    </w:p>
    <w:p>
      <w:pPr>
        <w:spacing w:before="0" w:after="0" w:line="317"/>
        <w:ind w:right="40" w:left="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При школе имеется стадион и спортивный зал, где проводятся игры и соревнования по волейболу, баскетболу, футболу, военно-спортивные соревнования и т.д.</w:t>
      </w:r>
    </w:p>
    <w:p>
      <w:pPr>
        <w:spacing w:before="0" w:after="0" w:line="317"/>
        <w:ind w:right="40" w:left="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 зимний период любимыми видами спорта среди населения является катание на коньках.</w:t>
      </w:r>
    </w:p>
    <w:p>
      <w:pPr>
        <w:spacing w:before="0" w:after="0" w:line="317"/>
        <w:ind w:right="40" w:left="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Поселение принимает активное участие в спортивной жизни района.</w:t>
      </w:r>
    </w:p>
    <w:p>
      <w:pPr>
        <w:spacing w:before="0" w:after="0" w:line="317"/>
        <w:ind w:right="40" w:left="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Проблемы в области развития физкультуры и спорта: необходима разработка стратегии, стратегического плана.</w:t>
      </w:r>
    </w:p>
    <w:p>
      <w:pPr>
        <w:spacing w:before="0" w:after="370" w:line="317"/>
        <w:ind w:right="40" w:left="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Тростянском сельском поселении.</w:t>
      </w:r>
    </w:p>
    <w:p>
      <w:pPr>
        <w:spacing w:before="0" w:after="0" w:line="230"/>
        <w:ind w:right="0" w:left="0" w:firstLine="56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1.3.4.3. Образование</w:t>
      </w:r>
    </w:p>
    <w:p>
      <w:pPr>
        <w:spacing w:before="0" w:after="0" w:line="23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  <w:t xml:space="preserve">Характеристика школьных учреждений Тростянского сельского поселения</w:t>
      </w:r>
    </w:p>
    <w:tbl>
      <w:tblPr>
        <w:tblInd w:w="45" w:type="dxa"/>
      </w:tblPr>
      <w:tblGrid>
        <w:gridCol w:w="725"/>
        <w:gridCol w:w="3000"/>
        <w:gridCol w:w="1560"/>
        <w:gridCol w:w="960"/>
        <w:gridCol w:w="1080"/>
        <w:gridCol w:w="1200"/>
        <w:gridCol w:w="979"/>
      </w:tblGrid>
      <w:tr>
        <w:trPr>
          <w:trHeight w:val="1949" w:hRule="auto"/>
          <w:jc w:val="center"/>
        </w:trPr>
        <w:tc>
          <w:tcPr>
            <w:tcW w:w="7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34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№ п/п</w:t>
            </w:r>
          </w:p>
        </w:tc>
        <w:tc>
          <w:tcPr>
            <w:tcW w:w="30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Наименование, номер и тип учреждения</w:t>
            </w:r>
          </w:p>
        </w:tc>
        <w:tc>
          <w:tcPr>
            <w:tcW w:w="1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Местонахо­ждение</w:t>
            </w:r>
          </w:p>
        </w:tc>
        <w:tc>
          <w:tcPr>
            <w:tcW w:w="9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Кол- во мест</w:t>
            </w:r>
          </w:p>
        </w:tc>
        <w:tc>
          <w:tcPr>
            <w:tcW w:w="10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Чис­лен- ность уча­щихся</w:t>
            </w:r>
          </w:p>
        </w:tc>
        <w:tc>
          <w:tcPr>
            <w:tcW w:w="12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12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Числен­ность пед. Со­става</w:t>
            </w:r>
          </w:p>
        </w:tc>
        <w:tc>
          <w:tcPr>
            <w:tcW w:w="9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Об­щее кол- во пер­сона- ла</w:t>
            </w:r>
          </w:p>
        </w:tc>
      </w:tr>
      <w:tr>
        <w:trPr>
          <w:trHeight w:val="1114" w:hRule="auto"/>
          <w:jc w:val="center"/>
        </w:trPr>
        <w:tc>
          <w:tcPr>
            <w:tcW w:w="7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34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</w:p>
        </w:tc>
        <w:tc>
          <w:tcPr>
            <w:tcW w:w="30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МКОУ Тростянская сред­няя  школа</w:t>
            </w:r>
          </w:p>
        </w:tc>
        <w:tc>
          <w:tcPr>
            <w:tcW w:w="1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п.Тростянский пер. Школь­ный, д. 2</w:t>
            </w:r>
          </w:p>
        </w:tc>
        <w:tc>
          <w:tcPr>
            <w:tcW w:w="9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300</w:t>
            </w:r>
          </w:p>
        </w:tc>
        <w:tc>
          <w:tcPr>
            <w:tcW w:w="10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84</w:t>
            </w:r>
          </w:p>
        </w:tc>
        <w:tc>
          <w:tcPr>
            <w:tcW w:w="12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13</w:t>
            </w:r>
          </w:p>
        </w:tc>
        <w:tc>
          <w:tcPr>
            <w:tcW w:w="9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"/>
          <w:shd w:fill="auto" w:val="clear"/>
        </w:rPr>
      </w:pPr>
    </w:p>
    <w:p>
      <w:pPr>
        <w:spacing w:before="225" w:after="370" w:line="317"/>
        <w:ind w:right="60" w:left="120" w:firstLine="8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 сфере образования осуществляется стимулирование образовательных учреждений, активно внедряющих инновационные образовательные программы, поощряются лучшие учителя и талантливая молодежь. Важной задачей сегодняшнего дня является повышение качества начального и среднего профессионального образования в соответствии с требованиями рынка труда. Осуществляются меры организационного и методологического характера по совершенствованию этой работы.</w:t>
      </w:r>
    </w:p>
    <w:p>
      <w:pPr>
        <w:spacing w:before="0" w:after="243" w:line="230"/>
        <w:ind w:right="0" w:left="120" w:firstLine="80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1.3.4.4. Здравоохранение</w:t>
      </w:r>
    </w:p>
    <w:p>
      <w:pPr>
        <w:keepNext w:val="true"/>
        <w:keepLines w:val="true"/>
        <w:spacing w:before="0" w:after="20" w:line="230"/>
        <w:ind w:right="0" w:left="120" w:firstLine="800"/>
        <w:jc w:val="both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  <w:t xml:space="preserve">Характеристика учреждений здравоохранения Тростянского сельского</w:t>
      </w:r>
    </w:p>
    <w:p>
      <w:pPr>
        <w:keepNext w:val="true"/>
        <w:keepLines w:val="true"/>
        <w:spacing w:before="0" w:after="0" w:line="230"/>
        <w:ind w:right="0" w:left="42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  <w:t xml:space="preserve">поселения</w:t>
      </w:r>
    </w:p>
    <w:tbl>
      <w:tblPr>
        <w:tblInd w:w="45" w:type="dxa"/>
      </w:tblPr>
      <w:tblGrid>
        <w:gridCol w:w="595"/>
        <w:gridCol w:w="2582"/>
        <w:gridCol w:w="2160"/>
        <w:gridCol w:w="1800"/>
        <w:gridCol w:w="1224"/>
      </w:tblGrid>
      <w:tr>
        <w:trPr>
          <w:trHeight w:val="1392" w:hRule="auto"/>
          <w:jc w:val="center"/>
        </w:trPr>
        <w:tc>
          <w:tcPr>
            <w:tcW w:w="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№ п/п</w:t>
            </w:r>
          </w:p>
        </w:tc>
        <w:tc>
          <w:tcPr>
            <w:tcW w:w="258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Наименование, номер и тип организации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Местонахожден ие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Численность врачей/ среднего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мед. Персонала</w:t>
            </w:r>
          </w:p>
        </w:tc>
        <w:tc>
          <w:tcPr>
            <w:tcW w:w="1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22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Износ</w:t>
            </w:r>
          </w:p>
          <w:p>
            <w:pPr>
              <w:spacing w:before="60" w:after="60" w:line="240"/>
              <w:ind w:right="0" w:left="22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зданий,</w:t>
            </w:r>
          </w:p>
          <w:p>
            <w:pPr>
              <w:spacing w:before="60" w:after="0" w:line="240"/>
              <w:ind w:right="0" w:left="52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%</w:t>
            </w:r>
          </w:p>
        </w:tc>
      </w:tr>
      <w:tr>
        <w:trPr>
          <w:trHeight w:val="840" w:hRule="auto"/>
          <w:jc w:val="center"/>
        </w:trPr>
        <w:tc>
          <w:tcPr>
            <w:tcW w:w="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</w:t>
            </w:r>
          </w:p>
        </w:tc>
        <w:tc>
          <w:tcPr>
            <w:tcW w:w="258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Тростянский ФАП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Центральная, 4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- / 1</w:t>
            </w:r>
          </w:p>
        </w:tc>
        <w:tc>
          <w:tcPr>
            <w:tcW w:w="1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10"/>
                <w:shd w:fill="auto" w:val="clear"/>
              </w:rPr>
              <w:t xml:space="preserve">    </w:t>
            </w:r>
            <w:r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</w:tr>
      <w:tr>
        <w:trPr>
          <w:trHeight w:val="835" w:hRule="auto"/>
          <w:jc w:val="center"/>
        </w:trPr>
        <w:tc>
          <w:tcPr>
            <w:tcW w:w="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3</w:t>
            </w:r>
          </w:p>
        </w:tc>
        <w:tc>
          <w:tcPr>
            <w:tcW w:w="258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Попов ФАП</w:t>
            </w:r>
          </w:p>
        </w:tc>
        <w:tc>
          <w:tcPr>
            <w:tcW w:w="21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Центральная, 8/1</w:t>
            </w:r>
          </w:p>
        </w:tc>
        <w:tc>
          <w:tcPr>
            <w:tcW w:w="18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- / 1</w:t>
            </w:r>
          </w:p>
        </w:tc>
        <w:tc>
          <w:tcPr>
            <w:tcW w:w="122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24"/>
                <w:shd w:fill="auto" w:val="clear"/>
              </w:rPr>
              <w:t xml:space="preserve">  45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i/>
          <w:color w:val="auto"/>
          <w:spacing w:val="0"/>
          <w:position w:val="0"/>
          <w:sz w:val="2"/>
          <w:shd w:fill="auto" w:val="clear"/>
        </w:rPr>
      </w:pPr>
    </w:p>
    <w:p>
      <w:pPr>
        <w:spacing w:before="465" w:after="0" w:line="317"/>
        <w:ind w:right="14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Согласно «Концепции развития здравоохранения до 2020 г.» установлена прямая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корреляционная связь (ГС=0.6) между уровнями социально-экономического развития и эффективностью системы здравоохранения. Относительный вклад в уровень общей смертности населения системы здравоохранения составляет 38,5 %. Результаты математического моделирования свидетельствуют, что за счет по­вышения эффективности системы здравоохранения можно обеспечить снижение уровней смертности и инвалидности населения.</w:t>
      </w:r>
    </w:p>
    <w:p>
      <w:pPr>
        <w:spacing w:before="0" w:after="0" w:line="317"/>
        <w:ind w:right="14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Основой формирования стратегического плана являются: прогноз числен­ности и состава населения, первичных систем расселения - «больших» районов, как опорных баз формирования межрайонных медицинских центров. Отправной точкой формирования сети учреждений должна быть численность обслуживаемо­го населения.</w:t>
      </w:r>
    </w:p>
    <w:p>
      <w:pPr>
        <w:spacing w:before="0" w:after="0" w:line="317"/>
        <w:ind w:right="14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>
      <w:pPr>
        <w:spacing w:before="0" w:after="0" w:line="317"/>
        <w:ind w:right="140" w:left="14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Причина высокой заболеваемости населения кроется в т.ч. и в особенностях проживания на селе:</w:t>
      </w:r>
    </w:p>
    <w:p>
      <w:pPr>
        <w:numPr>
          <w:ilvl w:val="0"/>
          <w:numId w:val="315"/>
        </w:numPr>
        <w:tabs>
          <w:tab w:val="left" w:pos="654" w:leader="none"/>
        </w:tabs>
        <w:spacing w:before="0" w:after="0" w:line="317"/>
        <w:ind w:right="0" w:left="50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низкий жизненный уровень,</w:t>
      </w:r>
    </w:p>
    <w:p>
      <w:pPr>
        <w:numPr>
          <w:ilvl w:val="0"/>
          <w:numId w:val="315"/>
        </w:numPr>
        <w:tabs>
          <w:tab w:val="left" w:pos="649" w:leader="none"/>
        </w:tabs>
        <w:spacing w:before="0" w:after="0" w:line="317"/>
        <w:ind w:right="0" w:left="50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отсутствие средств на приобретение лекарств,</w:t>
      </w:r>
    </w:p>
    <w:p>
      <w:pPr>
        <w:numPr>
          <w:ilvl w:val="0"/>
          <w:numId w:val="315"/>
        </w:numPr>
        <w:tabs>
          <w:tab w:val="left" w:pos="654" w:leader="none"/>
        </w:tabs>
        <w:spacing w:before="0" w:after="0" w:line="317"/>
        <w:ind w:right="0" w:left="50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низкая социальная культура,</w:t>
      </w:r>
    </w:p>
    <w:p>
      <w:pPr>
        <w:numPr>
          <w:ilvl w:val="0"/>
          <w:numId w:val="315"/>
        </w:numPr>
        <w:tabs>
          <w:tab w:val="left" w:pos="654" w:leader="none"/>
        </w:tabs>
        <w:spacing w:before="0" w:after="0" w:line="317"/>
        <w:ind w:right="0" w:left="50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малая плотность населения,</w:t>
      </w:r>
    </w:p>
    <w:p>
      <w:pPr>
        <w:numPr>
          <w:ilvl w:val="0"/>
          <w:numId w:val="315"/>
        </w:numPr>
        <w:tabs>
          <w:tab w:val="left" w:pos="654" w:leader="none"/>
        </w:tabs>
        <w:spacing w:before="0" w:after="0" w:line="317"/>
        <w:ind w:right="0" w:left="50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высокая степень алкоголизации населения в поселении;</w:t>
      </w:r>
    </w:p>
    <w:p>
      <w:pPr>
        <w:numPr>
          <w:ilvl w:val="0"/>
          <w:numId w:val="315"/>
        </w:numPr>
        <w:tabs>
          <w:tab w:val="left" w:pos="654" w:leader="none"/>
        </w:tabs>
        <w:spacing w:before="0" w:after="0" w:line="317"/>
        <w:ind w:right="0" w:left="50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отсутствие аптечных пунктов .</w:t>
      </w:r>
    </w:p>
    <w:p>
      <w:pPr>
        <w:spacing w:before="0" w:after="900" w:line="317"/>
        <w:ind w:right="20" w:left="2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>
      <w:pPr>
        <w:tabs>
          <w:tab w:val="left" w:pos="1830" w:leader="none"/>
        </w:tabs>
        <w:spacing w:before="0" w:after="0" w:line="317"/>
        <w:ind w:right="0" w:left="2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1.3.4.5. Благоустройство территории, организация сбора</w:t>
      </w:r>
    </w:p>
    <w:p>
      <w:pPr>
        <w:spacing w:before="0" w:after="240" w:line="317"/>
        <w:ind w:right="0" w:left="2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и вывоза бытовых отходов и мусора.</w:t>
      </w:r>
    </w:p>
    <w:p>
      <w:pPr>
        <w:spacing w:before="0" w:after="0" w:line="317"/>
        <w:ind w:right="20" w:left="2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Проблема формирования системы безопасного обращения с отходами, в том числе сбор, захоронение, переработка бытовых и промышленных отходов на тер­ритории Тростянского сельского поселения решена не окончательно. С каждым го­дом происходит увеличение количества отходов, а это приводит к увеличению размеров занимаемой ими территории, росту числа несанкционированных свалок, интенсивному загрязнению почв, поверхностных водоемов и подземных вод, ат­мосферного воздуха.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Политика в сфере управления отходами, главным образом, должна ориен­тироваться на снижение количества образующихся отходов и на их максимальное вовлечение в повторное использование (прежде всего на промышленных пред­приятиях). Важнейшей задачей является селективный сбор и сортировка отходов перед их удалением с целью извлечения полезных и возможных к повторному ис­пользованию компонентов.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На промышленных предприятиях необходимо усовершенствовать техноло­гические процессы, чтобы свести образование отходов к минимуму. Также необхо­димо всем предприятиям и организациям разработать проекты нормативов об­разования отходов и лимитов на их размещение (ПНООЛР) и заключить договора на вывоз соответствующих отходов.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Основными известными методами переработки сельскохозяйственных отхо­дов являются: компостирование - сбраживание навоза совместно с отходами рас­тениеводства; вермикомпостирование навоза с помощью колоний дождевых чер­вей; термическая или вакуумная сушка навоза и помета с получением сухого кон­центрированного удобрения; анаэробное сбраживание в реакторах с целью полу­чения биогаза.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В настоящее время правила утилизации биологических отходов на террито­рии Новоаннинского района почти повсеместно соответствуют нормам, все скотомо­гильники санкционированы. Уничтожение биологических отходов путем захороне­ния в землю не производится.</w:t>
      </w:r>
    </w:p>
    <w:p>
      <w:pPr>
        <w:spacing w:before="0" w:after="1150" w:line="317"/>
        <w:ind w:right="20" w:left="2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Вопросы транспортировки, утилизации и размещения отходов в районе ре­шаются на основе «Правил обращения с отходами производства на территории Новоаннинского муниципального района» и «Правил благоустройства и санитарного содержания территорий населённых пунктов Новоаннинского муниципального райо­на».</w:t>
      </w:r>
    </w:p>
    <w:p>
      <w:pPr>
        <w:spacing w:before="0" w:after="0" w:line="230"/>
        <w:ind w:right="0" w:left="20" w:firstLine="72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1.3.4.6 Молодежная политика.</w:t>
      </w:r>
    </w:p>
    <w:p>
      <w:pPr>
        <w:spacing w:before="0" w:after="304" w:line="317"/>
        <w:ind w:right="60" w:left="60" w:firstLine="8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Повышение уровня гражданского и патриотического воспитания молодого поколения, снижение темпов роста безнадзорности среди детей и подростков, профилактика распространения наркомании и алкоголизма в молодежной среде, рост общественно-гражданской и деловой активности молодежи.</w:t>
      </w:r>
    </w:p>
    <w:p>
      <w:pPr>
        <w:spacing w:before="0" w:after="296" w:line="312"/>
        <w:ind w:right="440" w:left="3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1.3.5 Основные отрасли экономики Тростянского сельского поселения.</w:t>
      </w:r>
    </w:p>
    <w:p>
      <w:pPr>
        <w:spacing w:before="0" w:after="296" w:line="312"/>
        <w:ind w:right="440" w:left="3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 1.3.5.1 Сельское хозяйство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Сельское хозяйство поселения представлено следующими сельскохозяйственными предприятиями: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ОАО «Гелио-Пакс-Агро»;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СПК «Тростянский»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СПК «Попов»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СПК «Авенир»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ООО «Артагалиев»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ООО «Зиничев» 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ООО «Суходольское»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ИП «Макаров»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ИПКФХ «Березин»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ИП «Бутко»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и личными  подсобными хозяйствами населения.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Производством молока, мяса  и яиц в поселении  занимаются только в личных подсобных хозяйствах.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Производством овощей в поселении занимаются, в основном личные подсобные хозяйства.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Хозяйства населения в основном занимаются посевами овощных  культур (картофель, овощи (открытого и закрытого грунта).</w:t>
      </w:r>
    </w:p>
    <w:p>
      <w:pPr>
        <w:spacing w:before="0" w:after="0" w:line="317"/>
        <w:ind w:right="60" w:left="60" w:firstLine="8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>
      <w:pPr>
        <w:spacing w:before="0" w:after="297" w:line="317"/>
        <w:ind w:right="60" w:left="60" w:firstLine="11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На территории Тростянского  сельского поселения на 01.01.2016 года насчитывается - 150 личных подсобных хозяйств.</w:t>
      </w:r>
    </w:p>
    <w:p>
      <w:pPr>
        <w:spacing w:before="0" w:after="0" w:line="23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  <w:t xml:space="preserve">Наличие животных на территории сельского поселения:</w:t>
      </w:r>
    </w:p>
    <w:tbl>
      <w:tblPr>
        <w:tblInd w:w="45" w:type="dxa"/>
      </w:tblPr>
      <w:tblGrid>
        <w:gridCol w:w="5971"/>
        <w:gridCol w:w="3312"/>
      </w:tblGrid>
      <w:tr>
        <w:trPr>
          <w:trHeight w:val="317" w:hRule="auto"/>
          <w:jc w:val="center"/>
        </w:trPr>
        <w:tc>
          <w:tcPr>
            <w:tcW w:w="59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78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Вид животных (гол.)</w:t>
            </w:r>
          </w:p>
        </w:tc>
        <w:tc>
          <w:tcPr>
            <w:tcW w:w="33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На 01.01.2016г.</w:t>
            </w:r>
          </w:p>
        </w:tc>
      </w:tr>
      <w:tr>
        <w:trPr>
          <w:trHeight w:val="298" w:hRule="auto"/>
          <w:jc w:val="center"/>
        </w:trPr>
        <w:tc>
          <w:tcPr>
            <w:tcW w:w="59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КРС</w:t>
            </w:r>
          </w:p>
        </w:tc>
        <w:tc>
          <w:tcPr>
            <w:tcW w:w="33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340</w:t>
            </w:r>
          </w:p>
        </w:tc>
      </w:tr>
      <w:tr>
        <w:trPr>
          <w:trHeight w:val="298" w:hRule="auto"/>
          <w:jc w:val="center"/>
        </w:trPr>
        <w:tc>
          <w:tcPr>
            <w:tcW w:w="59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Свиньи</w:t>
            </w:r>
          </w:p>
        </w:tc>
        <w:tc>
          <w:tcPr>
            <w:tcW w:w="33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460</w:t>
            </w:r>
          </w:p>
        </w:tc>
      </w:tr>
      <w:tr>
        <w:trPr>
          <w:trHeight w:val="293" w:hRule="auto"/>
          <w:jc w:val="center"/>
        </w:trPr>
        <w:tc>
          <w:tcPr>
            <w:tcW w:w="59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Овцы</w:t>
            </w:r>
          </w:p>
        </w:tc>
        <w:tc>
          <w:tcPr>
            <w:tcW w:w="33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198</w:t>
            </w:r>
          </w:p>
        </w:tc>
      </w:tr>
      <w:tr>
        <w:trPr>
          <w:trHeight w:val="298" w:hRule="auto"/>
          <w:jc w:val="center"/>
        </w:trPr>
        <w:tc>
          <w:tcPr>
            <w:tcW w:w="59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Козы</w:t>
            </w:r>
          </w:p>
        </w:tc>
        <w:tc>
          <w:tcPr>
            <w:tcW w:w="33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122</w:t>
            </w:r>
          </w:p>
        </w:tc>
      </w:tr>
      <w:tr>
        <w:trPr>
          <w:trHeight w:val="298" w:hRule="auto"/>
          <w:jc w:val="center"/>
        </w:trPr>
        <w:tc>
          <w:tcPr>
            <w:tcW w:w="59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Лошади</w:t>
            </w:r>
          </w:p>
        </w:tc>
        <w:tc>
          <w:tcPr>
            <w:tcW w:w="33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4</w:t>
            </w:r>
          </w:p>
        </w:tc>
      </w:tr>
      <w:tr>
        <w:trPr>
          <w:trHeight w:val="293" w:hRule="auto"/>
          <w:jc w:val="center"/>
        </w:trPr>
        <w:tc>
          <w:tcPr>
            <w:tcW w:w="59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Птица</w:t>
            </w:r>
          </w:p>
        </w:tc>
        <w:tc>
          <w:tcPr>
            <w:tcW w:w="33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3200</w:t>
            </w:r>
          </w:p>
        </w:tc>
      </w:tr>
      <w:tr>
        <w:trPr>
          <w:trHeight w:val="298" w:hRule="auto"/>
          <w:jc w:val="center"/>
        </w:trPr>
        <w:tc>
          <w:tcPr>
            <w:tcW w:w="59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Кролики</w:t>
            </w:r>
          </w:p>
        </w:tc>
        <w:tc>
          <w:tcPr>
            <w:tcW w:w="33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300</w:t>
            </w:r>
          </w:p>
        </w:tc>
      </w:tr>
      <w:tr>
        <w:trPr>
          <w:trHeight w:val="298" w:hRule="auto"/>
          <w:jc w:val="center"/>
        </w:trPr>
        <w:tc>
          <w:tcPr>
            <w:tcW w:w="59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Пчелосемьи</w:t>
            </w:r>
          </w:p>
        </w:tc>
        <w:tc>
          <w:tcPr>
            <w:tcW w:w="33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50</w:t>
            </w:r>
          </w:p>
        </w:tc>
      </w:tr>
      <w:tr>
        <w:trPr>
          <w:trHeight w:val="307" w:hRule="auto"/>
          <w:jc w:val="center"/>
        </w:trPr>
        <w:tc>
          <w:tcPr>
            <w:tcW w:w="59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Другие виды животных</w:t>
            </w:r>
          </w:p>
        </w:tc>
        <w:tc>
          <w:tcPr>
            <w:tcW w:w="33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"/>
          <w:shd w:fill="auto" w:val="clear"/>
        </w:rPr>
      </w:pPr>
    </w:p>
    <w:p>
      <w:pPr>
        <w:spacing w:before="225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 последний год наблюдается тенденции снижения поголовья животных в частном секторе.</w:t>
      </w:r>
    </w:p>
    <w:p>
      <w:pPr>
        <w:spacing w:before="0" w:after="0" w:line="317"/>
        <w:ind w:right="0" w:left="3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Причины, сдерживающие развитие личных подсобных хозяйств, следующие:</w:t>
      </w:r>
    </w:p>
    <w:p>
      <w:pPr>
        <w:numPr>
          <w:ilvl w:val="0"/>
          <w:numId w:val="371"/>
        </w:numPr>
        <w:tabs>
          <w:tab w:val="left" w:pos="478" w:leader="none"/>
        </w:tabs>
        <w:spacing w:before="0" w:after="0" w:line="317"/>
        <w:ind w:right="0" w:left="3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Нет организованного закупа сельскохозяйственной продукции;</w:t>
      </w:r>
    </w:p>
    <w:p>
      <w:pPr>
        <w:numPr>
          <w:ilvl w:val="0"/>
          <w:numId w:val="371"/>
        </w:numPr>
        <w:tabs>
          <w:tab w:val="left" w:pos="478" w:leader="none"/>
        </w:tabs>
        <w:spacing w:before="0" w:after="0" w:line="317"/>
        <w:ind w:right="440" w:left="3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Высокая себестоимость с/х продукции, и ее низкая закупочная цена.</w:t>
      </w:r>
    </w:p>
    <w:p>
      <w:pPr>
        <w:numPr>
          <w:ilvl w:val="0"/>
          <w:numId w:val="371"/>
        </w:numPr>
        <w:tabs>
          <w:tab w:val="left" w:pos="478" w:leader="none"/>
        </w:tabs>
        <w:spacing w:before="0" w:after="0" w:line="317"/>
        <w:ind w:right="440" w:left="3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3"/>
          <w:u w:val="single"/>
          <w:shd w:fill="auto" w:val="clear"/>
        </w:rPr>
        <w:t xml:space="preserve">Проблемы:</w:t>
      </w:r>
    </w:p>
    <w:p>
      <w:pPr>
        <w:spacing w:before="0" w:after="0" w:line="317"/>
        <w:ind w:right="60" w:left="60" w:firstLine="5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1) сельские жители недостаточно осведомлены о своих правах на землю и имущество.</w:t>
      </w:r>
    </w:p>
    <w:p>
      <w:pPr>
        <w:numPr>
          <w:ilvl w:val="0"/>
          <w:numId w:val="374"/>
        </w:numPr>
        <w:tabs>
          <w:tab w:val="left" w:pos="860" w:leader="none"/>
        </w:tabs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владельцы ЛПХ, сельские предприниматели испытывают острый дефицит финансово-кредитных ресурсов в силу недостаточной государственной поддержки этого сектора экономики;</w:t>
      </w:r>
    </w:p>
    <w:p>
      <w:pPr>
        <w:numPr>
          <w:ilvl w:val="0"/>
          <w:numId w:val="374"/>
        </w:numPr>
        <w:tabs>
          <w:tab w:val="left" w:pos="980" w:leader="none"/>
        </w:tabs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не налажена эффективная система сбыта продукции, материально- технического и производственного обслуживания К(Ф)Х и ЛПХ, других малых форм хозяйствования. Владельцы ЛПХ вынуждены реализовывать продукцию самостоятельно или продавать частным перекупщикам и заготовителям  на невыгодных условиях. Отсутствие кооперативов по закупке продукции села тормозит как увеличению численности поголовья скота, так и увеличению земельных площадей под картофель и овощи;</w:t>
      </w:r>
    </w:p>
    <w:p>
      <w:pPr>
        <w:numPr>
          <w:ilvl w:val="0"/>
          <w:numId w:val="374"/>
        </w:numPr>
        <w:tabs>
          <w:tab w:val="left" w:pos="922" w:leader="none"/>
        </w:tabs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сельское население испытывает существенные трудности в получении рыночной информации, консультационных услуг правового, экономического и технологического характера, в повышении квалификации;</w:t>
      </w:r>
    </w:p>
    <w:p>
      <w:pPr>
        <w:numPr>
          <w:ilvl w:val="0"/>
          <w:numId w:val="374"/>
        </w:numPr>
        <w:tabs>
          <w:tab w:val="left" w:pos="855" w:leader="none"/>
        </w:tabs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низкий уровень заработной платы в отрасли, и отток работающих в другие отрасли производства и в социальную сферу;</w:t>
      </w:r>
    </w:p>
    <w:p>
      <w:pPr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Самостоятельно решить проблемы, с которыми сталкиваются жители сельской местности при ведении личных подсобных хозяйств достаточно трудно.</w:t>
      </w:r>
    </w:p>
    <w:p>
      <w:pPr>
        <w:numPr>
          <w:ilvl w:val="0"/>
          <w:numId w:val="379"/>
        </w:numPr>
        <w:tabs>
          <w:tab w:val="left" w:pos="994" w:leader="none"/>
        </w:tabs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Существенной причиной, сдерживающей рост численности поголовья скота у населения, является трудности с обеспечением кормами. Предприятия, сегодня работают в условиях рынка и не имеют достаточных ресурсов, чтобы оказывать гражданам помощь в необходимых объемах, в заготовке кормов.</w:t>
      </w:r>
    </w:p>
    <w:p>
      <w:pPr>
        <w:numPr>
          <w:ilvl w:val="0"/>
          <w:numId w:val="379"/>
        </w:numPr>
        <w:tabs>
          <w:tab w:val="left" w:pos="789" w:leader="none"/>
        </w:tabs>
        <w:spacing w:before="0" w:after="0" w:line="317"/>
        <w:ind w:right="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Закуп сельскохозяйственной продукции производятся по низким ценам.</w:t>
      </w:r>
    </w:p>
    <w:p>
      <w:pPr>
        <w:numPr>
          <w:ilvl w:val="0"/>
          <w:numId w:val="379"/>
        </w:numPr>
        <w:tabs>
          <w:tab w:val="left" w:pos="794" w:leader="none"/>
        </w:tabs>
        <w:spacing w:before="0" w:after="0" w:line="317"/>
        <w:ind w:right="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Старение населения из за ухудшающейся демографической ситуации.</w:t>
      </w:r>
    </w:p>
    <w:p>
      <w:pPr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 связи с этим органы местного самоуправления должны ставить перед собой первостепенную задачу занятости и самозанятости населения.</w:t>
      </w:r>
    </w:p>
    <w:p>
      <w:pPr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Способствуя и регулируя процесс развития ЛПХ в поселении можно решать эту проблему.</w:t>
      </w:r>
    </w:p>
    <w:p>
      <w:pPr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Развитие животноводства и огородничества, как одно из направлений развития ЛПХ.</w:t>
      </w:r>
    </w:p>
    <w:p>
      <w:pPr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Производство продукции животноводства в личных подсобных хозяйствах является приоритетным направлением в решении главного вопроса - самозанятость сельского населения.</w:t>
      </w:r>
    </w:p>
    <w:p>
      <w:pPr>
        <w:spacing w:before="0" w:after="0" w:line="317"/>
        <w:ind w:right="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Эту проблему, возможно, решить следующим путем:</w:t>
      </w:r>
    </w:p>
    <w:p>
      <w:pPr>
        <w:numPr>
          <w:ilvl w:val="0"/>
          <w:numId w:val="384"/>
        </w:numPr>
        <w:tabs>
          <w:tab w:val="left" w:pos="682" w:leader="none"/>
        </w:tabs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более интенсивно привлекать льготные кредитные ресурсы для развития ЛПХ в поселении;</w:t>
      </w:r>
    </w:p>
    <w:p>
      <w:pPr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Для повышения племенной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</w:t>
      </w:r>
    </w:p>
    <w:p>
      <w:pPr>
        <w:numPr>
          <w:ilvl w:val="0"/>
          <w:numId w:val="386"/>
        </w:numPr>
        <w:tabs>
          <w:tab w:val="left" w:pos="793" w:leader="none"/>
        </w:tabs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обеспечить высокий уровень ветеринарного обслуживания в личных подсобных хозяйствах в соответствии с действующим законодательством;</w:t>
      </w:r>
    </w:p>
    <w:p>
      <w:pPr>
        <w:numPr>
          <w:ilvl w:val="0"/>
          <w:numId w:val="386"/>
        </w:numPr>
        <w:tabs>
          <w:tab w:val="left" w:pos="778" w:leader="none"/>
        </w:tabs>
        <w:spacing w:before="0" w:after="0" w:line="317"/>
        <w:ind w:right="20" w:left="20" w:firstLine="6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необходимо всячески поддерживать инициативу граждан, которые сегодня оказывают услуги по заготовке кормов, вспашке огородов, сбору молока;</w:t>
      </w:r>
    </w:p>
    <w:p>
      <w:pPr>
        <w:numPr>
          <w:ilvl w:val="0"/>
          <w:numId w:val="386"/>
        </w:numPr>
        <w:tabs>
          <w:tab w:val="left" w:pos="918" w:leader="none"/>
        </w:tabs>
        <w:spacing w:before="0" w:after="37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создавать условия для создания и развития потребительско-сбытовых кооперативов на территории населенных пунктов Тростянского  сельского поселения.</w:t>
      </w:r>
    </w:p>
    <w:p>
      <w:pPr>
        <w:spacing w:before="0" w:after="294" w:line="230"/>
        <w:ind w:right="0" w:left="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1.3.5.2 Развитие и поддержка малого предпринимательства</w:t>
      </w:r>
    </w:p>
    <w:p>
      <w:pPr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Развитие сектора малого предпринимательства является одним из главных направлений экономической деятельности, т.к. именно данным сектором решает­ся ряд важнейших проблем социальной стабильности населения. Это, прежде всего, занятость, повышение жизненного уровня населения, увеличение наполня­емости бюджета.</w:t>
      </w:r>
    </w:p>
    <w:p>
      <w:pPr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Цель политики развития и поддержки малого предпринимательства - созда­ние благоприятных политических , правовых, экономических и организационных условий для повышения устойчивого и динамичного развития малого предприни­мательства, обеспечивающих сохранение и создание новых рабочих мест, насы­щение рынка отечественными товарами и услугами, стабильное поступление на­логов в бюджет поселения, формирование среднего слоя общества, самостоя­тельно создающего собственное благосостояние и достаточный уровень жизни.</w:t>
      </w:r>
    </w:p>
    <w:p>
      <w:pPr>
        <w:spacing w:before="0" w:after="0" w:line="317"/>
        <w:ind w:right="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Основные задачи:</w:t>
      </w:r>
    </w:p>
    <w:p>
      <w:pPr>
        <w:numPr>
          <w:ilvl w:val="0"/>
          <w:numId w:val="392"/>
        </w:numPr>
        <w:tabs>
          <w:tab w:val="left" w:pos="721" w:leader="none"/>
        </w:tabs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формирование правового пространства, обеспечивающего беспрепятствен­ное развитие малого предпринимательства.</w:t>
      </w:r>
    </w:p>
    <w:p>
      <w:pPr>
        <w:numPr>
          <w:ilvl w:val="0"/>
          <w:numId w:val="392"/>
        </w:numPr>
        <w:tabs>
          <w:tab w:val="left" w:pos="716" w:leader="none"/>
        </w:tabs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выявление и поддержка приоритетных направлений развития малого бизне­са.</w:t>
      </w:r>
    </w:p>
    <w:p>
      <w:pPr>
        <w:numPr>
          <w:ilvl w:val="0"/>
          <w:numId w:val="392"/>
        </w:numPr>
        <w:tabs>
          <w:tab w:val="left" w:pos="802" w:leader="none"/>
        </w:tabs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формирование положительного общественного мнения о деятельности предприятий малого и среднего бизнеса, укрепление социального статуса, повы­шение престижа и создание механизма защиты предпринимательства.</w:t>
      </w:r>
    </w:p>
    <w:p>
      <w:pPr>
        <w:numPr>
          <w:ilvl w:val="0"/>
          <w:numId w:val="392"/>
        </w:numPr>
        <w:tabs>
          <w:tab w:val="left" w:pos="730" w:leader="none"/>
        </w:tabs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участие предпринимателей в формировании политики поселения по разви­тию малого и среднего предпринимательства (Совет предпринимателей);</w:t>
      </w:r>
    </w:p>
    <w:p>
      <w:pPr>
        <w:numPr>
          <w:ilvl w:val="0"/>
          <w:numId w:val="392"/>
        </w:numPr>
        <w:tabs>
          <w:tab w:val="left" w:pos="730" w:leader="none"/>
        </w:tabs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вовлечение в предпринимательскую деятельность представителей различ­ных слоев населения;</w:t>
      </w:r>
    </w:p>
    <w:p>
      <w:pPr>
        <w:numPr>
          <w:ilvl w:val="0"/>
          <w:numId w:val="392"/>
        </w:numPr>
        <w:tabs>
          <w:tab w:val="left" w:pos="750" w:leader="none"/>
        </w:tabs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увеличение доходов населения и создание условий для самореализации граждан;</w:t>
      </w:r>
    </w:p>
    <w:p>
      <w:pPr>
        <w:numPr>
          <w:ilvl w:val="0"/>
          <w:numId w:val="392"/>
        </w:numPr>
        <w:tabs>
          <w:tab w:val="left" w:pos="721" w:leader="none"/>
        </w:tabs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поддержка в продвижении местных товаропроизводителей посредством ярмарочно - выставочных мероприятий.</w:t>
      </w:r>
    </w:p>
    <w:p>
      <w:pPr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 рамках реализации политики в области развития малого и среднего пред­принимательства определены следующие приоритеты:</w:t>
      </w:r>
    </w:p>
    <w:p>
      <w:pPr>
        <w:numPr>
          <w:ilvl w:val="0"/>
          <w:numId w:val="399"/>
        </w:numPr>
        <w:tabs>
          <w:tab w:val="left" w:pos="829" w:leader="none"/>
        </w:tabs>
        <w:spacing w:before="0" w:after="0" w:line="317"/>
        <w:ind w:right="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производство и организация закупа сельскохозяйственной продукции;</w:t>
      </w:r>
    </w:p>
    <w:p>
      <w:pPr>
        <w:numPr>
          <w:ilvl w:val="0"/>
          <w:numId w:val="399"/>
        </w:numPr>
        <w:tabs>
          <w:tab w:val="left" w:pos="865" w:leader="none"/>
        </w:tabs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производство товаров народного потребления продовольственного и про­мышленного назначения;</w:t>
      </w:r>
    </w:p>
    <w:p>
      <w:pPr>
        <w:numPr>
          <w:ilvl w:val="0"/>
          <w:numId w:val="399"/>
        </w:numPr>
        <w:tabs>
          <w:tab w:val="left" w:pos="834" w:leader="none"/>
        </w:tabs>
        <w:spacing w:before="0" w:after="0" w:line="317"/>
        <w:ind w:right="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развитие народных ремесел;</w:t>
      </w:r>
    </w:p>
    <w:p>
      <w:pPr>
        <w:numPr>
          <w:ilvl w:val="0"/>
          <w:numId w:val="399"/>
        </w:numPr>
        <w:tabs>
          <w:tab w:val="left" w:pos="898" w:leader="none"/>
        </w:tabs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бытовые услуги (ремонт, реставрация и пошив обуви; ремонт и пошив верхней одежды; фотография; парикмахерские и др.)</w:t>
      </w:r>
    </w:p>
    <w:p>
      <w:pPr>
        <w:numPr>
          <w:ilvl w:val="0"/>
          <w:numId w:val="399"/>
        </w:numPr>
        <w:tabs>
          <w:tab w:val="left" w:pos="829" w:leader="none"/>
        </w:tabs>
        <w:spacing w:before="0" w:after="0" w:line="317"/>
        <w:ind w:right="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строительство, в том числе жилья;</w:t>
      </w:r>
    </w:p>
    <w:p>
      <w:pPr>
        <w:numPr>
          <w:ilvl w:val="0"/>
          <w:numId w:val="399"/>
        </w:numPr>
        <w:tabs>
          <w:tab w:val="left" w:pos="853" w:leader="none"/>
        </w:tabs>
        <w:spacing w:before="0" w:after="0" w:line="317"/>
        <w:ind w:right="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выполнение дорожных работ;</w:t>
      </w:r>
    </w:p>
    <w:p>
      <w:pPr>
        <w:numPr>
          <w:ilvl w:val="0"/>
          <w:numId w:val="399"/>
        </w:numPr>
        <w:tabs>
          <w:tab w:val="left" w:pos="848" w:leader="none"/>
        </w:tabs>
        <w:spacing w:before="0" w:after="0" w:line="317"/>
        <w:ind w:right="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производство строительных материалов.</w:t>
      </w:r>
    </w:p>
    <w:p>
      <w:pPr>
        <w:spacing w:before="0" w:after="0" w:line="317"/>
        <w:ind w:right="20" w:left="20" w:firstLine="54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Система программных мероприятий по развитию малого и среднего предпри­нимательства представлена следующими направлениями:</w:t>
      </w:r>
    </w:p>
    <w:p>
      <w:pPr>
        <w:numPr>
          <w:ilvl w:val="0"/>
          <w:numId w:val="407"/>
        </w:numPr>
        <w:tabs>
          <w:tab w:val="left" w:pos="937" w:leader="none"/>
        </w:tabs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Сдача в аренду земли с целью производства сельскохозяйственной продукции, организации культурного отдыха населения, создания новых рабочих мест, увеличения местного бюджета.</w:t>
      </w:r>
    </w:p>
    <w:p>
      <w:pPr>
        <w:numPr>
          <w:ilvl w:val="0"/>
          <w:numId w:val="407"/>
        </w:numPr>
        <w:tabs>
          <w:tab w:val="left" w:pos="983" w:leader="none"/>
        </w:tabs>
        <w:spacing w:before="0" w:after="0" w:line="317"/>
        <w:ind w:right="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Проведение различных конкурсов среди предпринимателей;</w:t>
      </w:r>
    </w:p>
    <w:p>
      <w:pPr>
        <w:numPr>
          <w:ilvl w:val="0"/>
          <w:numId w:val="407"/>
        </w:numPr>
        <w:tabs>
          <w:tab w:val="left" w:pos="889" w:leader="none"/>
        </w:tabs>
        <w:spacing w:before="0" w:after="54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Сдача в аренду площадей муниципальных учреждений под создание и развитие приоритетных сфер услуг.</w:t>
      </w:r>
    </w:p>
    <w:p>
      <w:pPr>
        <w:spacing w:before="0" w:after="240" w:line="317"/>
        <w:ind w:right="20" w:left="700" w:hanging="680"/>
        <w:jc w:val="both"/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3"/>
          <w:shd w:fill="auto" w:val="clear"/>
        </w:rPr>
        <w:t xml:space="preserve">         1.4 Оценка нормативно - правовой базы , необходимой для функционирова­ния и развития социальной инфраструктуры Ивановского сельского по­селения.</w:t>
      </w:r>
    </w:p>
    <w:p>
      <w:pPr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Основанием для разработки программы развития социальной инфраструкту­ры является Федеральный закон от 06.10.2003 № 131-Ф3 «Об общих принципах организации местного самоуправления в Российской Федерации» и Устав Тростянского  сельского поселения.</w:t>
      </w:r>
    </w:p>
    <w:p>
      <w:pPr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Организационная структура управления Программой базируется на суще­ствующей структуре органов местного самоуправления Тростянского сельского по­селения.</w:t>
      </w:r>
    </w:p>
    <w:p>
      <w:pPr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Выполнение оперативных функций по реализации Программы осуще­ствляется сотрудниками администрации Тростянского сельского поселения по по­ручениям главы Тростянского  сельского поселения, а также депутатами Думы Тростянского сельского поселения.</w:t>
      </w:r>
    </w:p>
    <w:p>
      <w:pPr>
        <w:spacing w:before="0" w:after="0" w:line="317"/>
        <w:ind w:right="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Полномочия Главы Тростянского сельского поселения:</w:t>
      </w:r>
    </w:p>
    <w:p>
      <w:pPr>
        <w:numPr>
          <w:ilvl w:val="0"/>
          <w:numId w:val="413"/>
        </w:numPr>
        <w:tabs>
          <w:tab w:val="left" w:pos="906" w:leader="none"/>
        </w:tabs>
        <w:spacing w:before="0" w:after="0" w:line="317"/>
        <w:ind w:right="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осуществление общего руководства Программой;</w:t>
      </w:r>
    </w:p>
    <w:p>
      <w:pPr>
        <w:numPr>
          <w:ilvl w:val="0"/>
          <w:numId w:val="413"/>
        </w:numPr>
        <w:tabs>
          <w:tab w:val="left" w:pos="906" w:leader="none"/>
        </w:tabs>
        <w:spacing w:before="0" w:after="0" w:line="317"/>
        <w:ind w:right="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обеспечение механизмов и процедур управления Программой;</w:t>
      </w:r>
    </w:p>
    <w:p>
      <w:pPr>
        <w:numPr>
          <w:ilvl w:val="0"/>
          <w:numId w:val="413"/>
        </w:numPr>
        <w:tabs>
          <w:tab w:val="left" w:pos="951" w:leader="none"/>
        </w:tabs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внесение предложений в представительный орган местного самоуправле­ния об объемах и источниках финансирования затрат на реализацию мероприя­тий Программы;</w:t>
      </w:r>
    </w:p>
    <w:p>
      <w:pPr>
        <w:numPr>
          <w:ilvl w:val="0"/>
          <w:numId w:val="413"/>
        </w:numPr>
        <w:tabs>
          <w:tab w:val="left" w:pos="966" w:leader="none"/>
        </w:tabs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принятие нормативных правовых актов в рамках своей компетенции и в соответствии с Уставом;</w:t>
      </w:r>
    </w:p>
    <w:p>
      <w:pPr>
        <w:numPr>
          <w:ilvl w:val="0"/>
          <w:numId w:val="413"/>
        </w:numPr>
        <w:tabs>
          <w:tab w:val="left" w:pos="932" w:leader="none"/>
        </w:tabs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постановка оперативных и долгосрочных задач по реализации стратегиче­ских приоритетов и основных мероприятий Программы, в том числе ежегодное рассмотрение и утверждение перечня основных мероприятий, объемов их финан­сирования и сроков реализации;</w:t>
      </w:r>
    </w:p>
    <w:p>
      <w:pPr>
        <w:numPr>
          <w:ilvl w:val="0"/>
          <w:numId w:val="413"/>
        </w:numPr>
        <w:tabs>
          <w:tab w:val="left" w:pos="999" w:leader="none"/>
        </w:tabs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>
      <w:pPr>
        <w:numPr>
          <w:ilvl w:val="0"/>
          <w:numId w:val="413"/>
        </w:numPr>
        <w:tabs>
          <w:tab w:val="left" w:pos="911" w:leader="none"/>
        </w:tabs>
        <w:spacing w:before="0" w:after="0" w:line="317"/>
        <w:ind w:right="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иные полномочия.</w:t>
      </w:r>
    </w:p>
    <w:p>
      <w:pPr>
        <w:spacing w:before="0" w:after="0" w:line="317"/>
        <w:ind w:right="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Сотрудники Администрации поселения осуществляют следующие функции:</w:t>
      </w:r>
    </w:p>
    <w:p>
      <w:pPr>
        <w:numPr>
          <w:ilvl w:val="0"/>
          <w:numId w:val="420"/>
        </w:numPr>
        <w:tabs>
          <w:tab w:val="left" w:pos="985" w:leader="none"/>
        </w:tabs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подготовка проектов нормативных правовых актов в подведомственной сфере в рамках своей компетенции;</w:t>
      </w:r>
    </w:p>
    <w:p>
      <w:pPr>
        <w:numPr>
          <w:ilvl w:val="0"/>
          <w:numId w:val="420"/>
        </w:numPr>
        <w:tabs>
          <w:tab w:val="left" w:pos="927" w:leader="none"/>
        </w:tabs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формирование заявок на выделение средств из бюджетов других уровней и их защита в финансовом отделе района;</w:t>
      </w:r>
    </w:p>
    <w:p>
      <w:pPr>
        <w:numPr>
          <w:ilvl w:val="0"/>
          <w:numId w:val="420"/>
        </w:numPr>
        <w:tabs>
          <w:tab w:val="left" w:pos="999" w:leader="none"/>
        </w:tabs>
        <w:spacing w:before="0" w:after="0" w:line="317"/>
        <w:ind w:right="20" w:left="20" w:firstLine="6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подготовка предложений, связанных с корректировкой целевых показа­телей, сроков, исполнителей и объемов ресурсов по мероприятиям Программы.</w:t>
      </w:r>
    </w:p>
    <w:p>
      <w:pPr>
        <w:spacing w:before="0" w:after="240" w:line="317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u w:val="single"/>
          <w:shd w:fill="auto" w:val="clear"/>
        </w:rPr>
        <w:t xml:space="preserve">Раздел 2.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Перечень мероприятий по проектированию , строительству и ре­конструкции объектов социальной инфраструктуры Тростянского сельского поселе­ния.</w:t>
      </w:r>
    </w:p>
    <w:p>
      <w:pPr>
        <w:tabs>
          <w:tab w:val="left" w:pos="1921" w:leader="none"/>
          <w:tab w:val="left" w:pos="3174" w:leader="none"/>
          <w:tab w:val="left" w:pos="5497" w:leader="none"/>
          <w:tab w:val="left" w:pos="7614" w:leader="none"/>
        </w:tabs>
        <w:spacing w:before="0" w:after="0" w:line="317"/>
        <w:ind w:right="20" w:left="2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Реализация программы социально-экономического развития Тростянского сельского поселения будет осуществляться в рамках выделенных стратегических приоритетов. В рамках реализации Программы планируется выполнение меро­приятий</w:t>
        <w:tab/>
        <w:t xml:space="preserve">по</w:t>
        <w:tab/>
        <w:t xml:space="preserve">следующим</w:t>
        <w:tab/>
        <w:t xml:space="preserve">основным</w:t>
        <w:tab/>
        <w:t xml:space="preserve">направлениям.</w:t>
      </w:r>
    </w:p>
    <w:p>
      <w:pPr>
        <w:spacing w:before="0" w:after="0" w:line="317"/>
        <w:ind w:right="20" w:left="20" w:firstLine="48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 Программу включены:</w:t>
      </w:r>
    </w:p>
    <w:p>
      <w:pPr>
        <w:spacing w:before="0" w:after="0" w:line="317"/>
        <w:ind w:right="2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-мероприятия по пожарной безопасности в границах населенных пунктов поселе­ния;</w:t>
      </w:r>
    </w:p>
    <w:p>
      <w:pPr>
        <w:spacing w:before="0" w:after="0" w:line="317"/>
        <w:ind w:right="2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-мероприятия по обеспечению безопасности граждан на водных объектах; </w:t>
      </w:r>
    </w:p>
    <w:p>
      <w:pPr>
        <w:spacing w:before="0" w:after="0" w:line="317"/>
        <w:ind w:right="2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-мероприятия по развитию сети автомобильных дорог поселения и повышение безопасности дорожного движения;</w:t>
      </w:r>
    </w:p>
    <w:p>
      <w:pPr>
        <w:spacing w:before="0" w:after="0" w:line="317"/>
        <w:ind w:right="146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-мероприятия по поддержке малого и среднего предпринимательства; -мероприятия в области коммунального хозяйства;</w:t>
      </w:r>
    </w:p>
    <w:p>
      <w:pPr>
        <w:spacing w:before="0" w:after="0" w:line="317"/>
        <w:ind w:right="60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-мероприятия по развитию систем наружного освещения населенных пунктов; -мероприятия по содержанию мест захоронения; </w:t>
      </w:r>
    </w:p>
    <w:p>
      <w:pPr>
        <w:spacing w:before="0" w:after="0" w:line="317"/>
        <w:ind w:right="60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-мероприятия по прочему благоустройству территории поселения; </w:t>
      </w:r>
    </w:p>
    <w:p>
      <w:pPr>
        <w:spacing w:before="0" w:after="0" w:line="317"/>
        <w:ind w:right="60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-мероприятия по развитию физической культуры;</w:t>
      </w:r>
    </w:p>
    <w:p>
      <w:pPr>
        <w:spacing w:before="0" w:after="0" w:line="317"/>
        <w:ind w:right="2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-мероприятия по организации досуга и обеспечения жителей поселения услугами культуры;</w:t>
      </w:r>
    </w:p>
    <w:p>
      <w:pPr>
        <w:spacing w:before="0" w:after="240" w:line="317"/>
        <w:ind w:right="20" w:left="2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-мероприятия в области социального обеспечения населения, пенсионного обес­печения муниципальных служащих.</w:t>
      </w:r>
    </w:p>
    <w:p>
      <w:pPr>
        <w:spacing w:before="0" w:after="0" w:line="317"/>
        <w:ind w:right="20" w:left="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Раздел 4. Оценка объемов и источников финансирования мероприятий по проек­тированию, строительству, реконструкции объектов социальной инфраструктуры</w:t>
      </w:r>
    </w:p>
    <w:p>
      <w:pPr>
        <w:spacing w:before="0" w:after="240" w:line="317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Тростянского сельского поселения.</w:t>
      </w:r>
    </w:p>
    <w:p>
      <w:pPr>
        <w:spacing w:before="0" w:after="0" w:line="317"/>
        <w:ind w:right="20" w:left="20" w:firstLine="48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Выполнение включённых в Программу организационных мероприятий и инве­стиционных проектов, при условии разработки эффективных механизмов их реа­лизации и поддержки, позволит достичь следующих показателей социально-эко­номического развития Тростянского сельского поселения в 2016 году по отноше­нию к 2025 году.</w:t>
      </w:r>
    </w:p>
    <w:p>
      <w:pPr>
        <w:spacing w:before="0" w:after="0" w:line="317"/>
        <w:ind w:right="20" w:left="2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За счет активизации предпринимательской деятельности, увеличатся объё­мы налоговых поступлений в местный бюджет. При выполнении программных ме­роприятий ожидается рост объёмов производства сельскохозяйственной продук­ции в сельскохозяйственных предприятиях и в личных подсобных хозяйствах гра­ждан. В целях оперативного отслеживания и контроля хода осуществления Программы, а также оценки влияния результатов реализации Программы на уро­вень социально-экономического развития района в рамках выделенных приорите­тов проводится и ежегодный мониторинг по основным целевым показателям со­циально-экономического развития территории.</w:t>
      </w:r>
    </w:p>
    <w:p>
      <w:pPr>
        <w:spacing w:before="0" w:after="0" w:line="317"/>
        <w:ind w:right="20" w:left="20" w:firstLine="7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Источниками средств для реализации муниципальной программы социаль­ного развития Тростянского  сельского поселения являются средства бюджета Тростянского сельского поселения .</w:t>
      </w:r>
    </w:p>
    <w:p>
      <w:pPr>
        <w:keepNext w:val="true"/>
        <w:keepLines w:val="true"/>
        <w:spacing w:before="0" w:after="0" w:line="317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3"/>
          <w:u w:val="single"/>
          <w:shd w:fill="auto" w:val="clear"/>
        </w:rPr>
        <w:t xml:space="preserve">Потребность в финансировании</w:t>
      </w:r>
    </w:p>
    <w:p>
      <w:pPr>
        <w:spacing w:before="0" w:after="0" w:line="23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u w:val="single"/>
          <w:shd w:fill="auto" w:val="clear"/>
        </w:rPr>
        <w:t xml:space="preserve">Тыс.руб</w:t>
      </w:r>
    </w:p>
    <w:tbl>
      <w:tblPr>
        <w:tblInd w:w="45" w:type="dxa"/>
      </w:tblPr>
      <w:tblGrid>
        <w:gridCol w:w="3595"/>
        <w:gridCol w:w="898"/>
        <w:gridCol w:w="898"/>
        <w:gridCol w:w="898"/>
        <w:gridCol w:w="898"/>
        <w:gridCol w:w="898"/>
        <w:gridCol w:w="1968"/>
      </w:tblGrid>
      <w:tr>
        <w:trPr>
          <w:trHeight w:val="586" w:hRule="auto"/>
          <w:jc w:val="center"/>
        </w:trPr>
        <w:tc>
          <w:tcPr>
            <w:tcW w:w="3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Источники финансирова­ния Программы</w:t>
            </w:r>
          </w:p>
        </w:tc>
        <w:tc>
          <w:tcPr>
            <w:tcW w:w="8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26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2016</w:t>
            </w:r>
          </w:p>
        </w:tc>
        <w:tc>
          <w:tcPr>
            <w:tcW w:w="8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2017</w:t>
            </w:r>
          </w:p>
        </w:tc>
        <w:tc>
          <w:tcPr>
            <w:tcW w:w="8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2018</w:t>
            </w:r>
          </w:p>
        </w:tc>
        <w:tc>
          <w:tcPr>
            <w:tcW w:w="8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2019</w:t>
            </w:r>
          </w:p>
        </w:tc>
        <w:tc>
          <w:tcPr>
            <w:tcW w:w="8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2020</w:t>
            </w:r>
          </w:p>
        </w:tc>
        <w:tc>
          <w:tcPr>
            <w:tcW w:w="19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42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2021-2025</w:t>
            </w:r>
          </w:p>
        </w:tc>
      </w:tr>
      <w:tr>
        <w:trPr>
          <w:trHeight w:val="778" w:hRule="auto"/>
          <w:jc w:val="center"/>
        </w:trPr>
        <w:tc>
          <w:tcPr>
            <w:tcW w:w="35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Бюджет поселения</w:t>
            </w:r>
          </w:p>
        </w:tc>
        <w:tc>
          <w:tcPr>
            <w:tcW w:w="8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26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3535,1</w:t>
            </w:r>
          </w:p>
        </w:tc>
        <w:tc>
          <w:tcPr>
            <w:tcW w:w="8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3487,6</w:t>
            </w:r>
          </w:p>
        </w:tc>
        <w:tc>
          <w:tcPr>
            <w:tcW w:w="8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4282,5</w:t>
            </w:r>
          </w:p>
        </w:tc>
        <w:tc>
          <w:tcPr>
            <w:tcW w:w="8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4138,7</w:t>
            </w:r>
          </w:p>
        </w:tc>
        <w:tc>
          <w:tcPr>
            <w:tcW w:w="89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0</w:t>
            </w:r>
          </w:p>
        </w:tc>
        <w:tc>
          <w:tcPr>
            <w:tcW w:w="196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6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"/>
          <w:shd w:fill="auto" w:val="clear"/>
        </w:rPr>
      </w:pPr>
    </w:p>
    <w:p>
      <w:pPr>
        <w:spacing w:before="460" w:after="0" w:line="317"/>
        <w:ind w:right="0" w:left="600" w:firstLine="72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Механизмы привлечения средств для реализации Программы:</w:t>
      </w:r>
    </w:p>
    <w:p>
      <w:pPr>
        <w:numPr>
          <w:ilvl w:val="0"/>
          <w:numId w:val="452"/>
        </w:numPr>
        <w:tabs>
          <w:tab w:val="left" w:pos="1512" w:leader="none"/>
        </w:tabs>
        <w:spacing w:before="0" w:after="0" w:line="317"/>
        <w:ind w:right="140" w:left="600" w:firstLine="72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ежегодное закрепление средств в бюджете Тростянского сельского поселения на реализацию целей и задач Программы;</w:t>
      </w:r>
    </w:p>
    <w:p>
      <w:pPr>
        <w:numPr>
          <w:ilvl w:val="0"/>
          <w:numId w:val="452"/>
        </w:numPr>
        <w:tabs>
          <w:tab w:val="left" w:pos="1526" w:leader="none"/>
        </w:tabs>
        <w:spacing w:before="0" w:after="0" w:line="317"/>
        <w:ind w:right="140" w:left="600" w:firstLine="72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ежегодное представление заявок на участие в долевом финансировании из областного бюджета;</w:t>
      </w:r>
    </w:p>
    <w:p>
      <w:pPr>
        <w:numPr>
          <w:ilvl w:val="0"/>
          <w:numId w:val="452"/>
        </w:numPr>
        <w:tabs>
          <w:tab w:val="left" w:pos="1531" w:leader="none"/>
        </w:tabs>
        <w:spacing w:before="0" w:after="544" w:line="317"/>
        <w:ind w:right="0" w:left="600" w:firstLine="72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развитие частного муниципального партнерства.</w:t>
      </w:r>
    </w:p>
    <w:p>
      <w:pPr>
        <w:spacing w:before="0" w:after="296" w:line="312"/>
        <w:ind w:right="140" w:left="600" w:firstLine="3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Раздел 5. Оценка эффективности мероприятий по проектированию , строитель­ству, реконструкции объектов социальной инфраструктуры Тростянского сельского поселения.</w:t>
      </w:r>
    </w:p>
    <w:p>
      <w:pPr>
        <w:spacing w:before="0" w:after="0" w:line="317"/>
        <w:ind w:right="140" w:left="600" w:firstLine="10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функционировани­ем и развитием систем поселения), и новых (нетрадиционных) функций: интегра­ция субъектов , ведомств, установления между ними партнерских отношений, во­влечение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использова­ния творческого, культурного, интеллектуального, экономического потенциалов сельского поселения.</w:t>
      </w:r>
    </w:p>
    <w:p>
      <w:pPr>
        <w:spacing w:before="0" w:after="0" w:line="322"/>
        <w:ind w:right="0" w:left="600" w:firstLine="72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Ожидаемые результаты:</w:t>
      </w:r>
    </w:p>
    <w:p>
      <w:pPr>
        <w:spacing w:before="0" w:after="0" w:line="322"/>
        <w:ind w:right="140" w:left="600" w:firstLine="10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высо­кого уровня социально-экономического развития:</w:t>
      </w:r>
    </w:p>
    <w:p>
      <w:pPr>
        <w:numPr>
          <w:ilvl w:val="0"/>
          <w:numId w:val="459"/>
        </w:numPr>
        <w:tabs>
          <w:tab w:val="left" w:pos="950" w:leader="none"/>
        </w:tabs>
        <w:spacing w:before="0" w:after="0" w:line="322"/>
        <w:ind w:right="140" w:left="940" w:hanging="3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проведение уличного освещения обеспечит устойчивое энергоснабжение поселения;</w:t>
      </w:r>
    </w:p>
    <w:p>
      <w:pPr>
        <w:numPr>
          <w:ilvl w:val="0"/>
          <w:numId w:val="459"/>
        </w:numPr>
        <w:tabs>
          <w:tab w:val="left" w:pos="945" w:leader="none"/>
        </w:tabs>
        <w:spacing w:before="0" w:after="0" w:line="322"/>
        <w:ind w:right="140" w:left="940" w:hanging="3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строительство новых и капитальный ремонт старых водопроводных сетей повысит уровень обеспеченности населения водой;</w:t>
      </w:r>
    </w:p>
    <w:p>
      <w:pPr>
        <w:numPr>
          <w:ilvl w:val="0"/>
          <w:numId w:val="459"/>
        </w:numPr>
        <w:tabs>
          <w:tab w:val="left" w:pos="950" w:leader="none"/>
        </w:tabs>
        <w:spacing w:before="0" w:after="0" w:line="322"/>
        <w:ind w:right="140" w:left="940" w:hanging="3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капитальный ремонт автомобильных дорог обеспечит связь с населенными пунктами поселения.</w:t>
      </w:r>
    </w:p>
    <w:p>
      <w:pPr>
        <w:numPr>
          <w:ilvl w:val="0"/>
          <w:numId w:val="459"/>
        </w:numPr>
        <w:tabs>
          <w:tab w:val="left" w:pos="940" w:leader="none"/>
        </w:tabs>
        <w:spacing w:before="0" w:after="0" w:line="322"/>
        <w:ind w:right="140" w:left="940" w:hanging="3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>
      <w:pPr>
        <w:numPr>
          <w:ilvl w:val="0"/>
          <w:numId w:val="459"/>
        </w:numPr>
        <w:tabs>
          <w:tab w:val="left" w:pos="940" w:leader="none"/>
        </w:tabs>
        <w:spacing w:before="0" w:after="0" w:line="322"/>
        <w:ind w:right="140" w:left="940" w:hanging="3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защищенности личности, безопасности жизнедеятельности общества, стабилизации обстановки с пожарами на территории поселения;</w:t>
      </w:r>
    </w:p>
    <w:p>
      <w:pPr>
        <w:numPr>
          <w:ilvl w:val="0"/>
          <w:numId w:val="459"/>
        </w:numPr>
        <w:tabs>
          <w:tab w:val="left" w:pos="950" w:leader="none"/>
        </w:tabs>
        <w:spacing w:before="0" w:after="0" w:line="322"/>
        <w:ind w:right="0" w:left="940" w:hanging="3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привлечения внебюджетных инвестиций в экономику поселения;</w:t>
      </w:r>
    </w:p>
    <w:p>
      <w:pPr>
        <w:numPr>
          <w:ilvl w:val="0"/>
          <w:numId w:val="459"/>
        </w:numPr>
        <w:tabs>
          <w:tab w:val="left" w:pos="950" w:leader="none"/>
        </w:tabs>
        <w:spacing w:before="0" w:after="0" w:line="230"/>
        <w:ind w:right="0" w:left="940" w:hanging="3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повышения благоустройства поселения;</w:t>
      </w:r>
    </w:p>
    <w:p>
      <w:pPr>
        <w:numPr>
          <w:ilvl w:val="0"/>
          <w:numId w:val="459"/>
        </w:numPr>
        <w:tabs>
          <w:tab w:val="left" w:pos="390" w:leader="none"/>
        </w:tabs>
        <w:spacing w:before="0" w:after="0" w:line="317"/>
        <w:ind w:right="20" w:left="380" w:hanging="3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>
      <w:pPr>
        <w:numPr>
          <w:ilvl w:val="0"/>
          <w:numId w:val="459"/>
        </w:numPr>
        <w:tabs>
          <w:tab w:val="left" w:pos="385" w:leader="none"/>
        </w:tabs>
        <w:spacing w:before="0" w:after="0" w:line="317"/>
        <w:ind w:right="0" w:left="2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формирования современного привлекательного имиджа поселения.</w:t>
      </w:r>
    </w:p>
    <w:p>
      <w:pPr>
        <w:spacing w:before="0" w:after="0" w:line="317"/>
        <w:ind w:right="20" w:left="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Результатом реализации программы должна стать стабилизация социаль­но-экономического положения поселения, улучшение состояния жилищно-комму­нального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>
      <w:pPr>
        <w:spacing w:before="0" w:after="0" w:line="317"/>
        <w:ind w:right="0" w:left="2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Реализация Программы позволит:</w:t>
      </w:r>
    </w:p>
    <w:p>
      <w:pPr>
        <w:numPr>
          <w:ilvl w:val="0"/>
          <w:numId w:val="469"/>
        </w:numPr>
        <w:tabs>
          <w:tab w:val="left" w:pos="946" w:leader="none"/>
        </w:tabs>
        <w:spacing w:before="0" w:after="0" w:line="317"/>
        <w:ind w:right="20" w:left="2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повысить качество жизни жителей Тростянского сельского поселения, сформировать организационные и финансовые условия для решения проблем по­селения;</w:t>
      </w:r>
    </w:p>
    <w:p>
      <w:pPr>
        <w:numPr>
          <w:ilvl w:val="0"/>
          <w:numId w:val="469"/>
        </w:numPr>
        <w:tabs>
          <w:tab w:val="left" w:pos="870" w:leader="none"/>
        </w:tabs>
        <w:spacing w:before="0" w:after="0" w:line="317"/>
        <w:ind w:right="20" w:left="2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привлечь население поселения к непосредственному участию в реализа­ции решений, направленных на улучшение качества жизни;</w:t>
      </w:r>
    </w:p>
    <w:p>
      <w:pPr>
        <w:numPr>
          <w:ilvl w:val="0"/>
          <w:numId w:val="469"/>
        </w:numPr>
        <w:tabs>
          <w:tab w:val="left" w:pos="942" w:leader="none"/>
        </w:tabs>
        <w:spacing w:before="0" w:after="0" w:line="317"/>
        <w:ind w:right="20" w:left="2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повысить степень социального согласия, укрепить авторитет органов местного самоуправления.</w:t>
      </w:r>
    </w:p>
    <w:p>
      <w:pPr>
        <w:spacing w:before="0" w:after="0" w:line="317"/>
        <w:ind w:right="20" w:left="2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Социальная стабильность и экономический рост в сельском поселении в на­стоящее время могут быть обеспечены только с помощью продуманной целе­направленной социально-экономической политики. И такая политика может быть разработана и реализована через программы социально-экономического разви­тия поселений.</w:t>
      </w:r>
    </w:p>
    <w:p>
      <w:pPr>
        <w:spacing w:before="0" w:after="0" w:line="317"/>
        <w:ind w:right="20" w:left="2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сель­ских поселений, так и муниципального образования в целом.</w:t>
      </w:r>
    </w:p>
    <w:p>
      <w:pPr>
        <w:spacing w:before="0" w:after="0" w:line="317"/>
        <w:ind w:right="20" w:left="2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Разработка и принятие среднесрочной программы развития сельского посе­ления позволяет закрепить приоритеты социальной, финансовой, инвестицион­ной, экономической политики, определить последовательность и сроки решения накопившихся за многие годы проблем. А целевые установки Программы и созда­ваемые для её реализации механизмы, закрепляющие «правила игры» на терри­тории поселения, позволят значительно повысить деловую активность управлен­ческих и предпринимательских кадров сельского поселения, создать необходи­мые условия для активизации экономической и хозяйственной деятельности на его территории.</w:t>
      </w:r>
    </w:p>
    <w:p>
      <w:pPr>
        <w:spacing w:before="0" w:after="240" w:line="317"/>
        <w:ind w:right="20" w:left="20" w:firstLine="56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Размеры и структура социально-культурной сферы определяются численно­стью сельского населения, соотношением численности населения нетрудоспособ­ного и трудоспособного возраста и уровнем жизни. В современных условиях необ­ходимо рационально сочетать производство и социальную инфраструктуру. Сле­дует финансировать лишь тот объем подразделений социальной сферы, который действительно необходим. При этом нужно правильно определить этот объем в соответствии с количеством работников (потребителей услуг - население) и производством.</w:t>
      </w:r>
    </w:p>
    <w:p>
      <w:pPr>
        <w:spacing w:before="0" w:after="544" w:line="317"/>
        <w:ind w:right="20" w:left="2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Правильно организованная инфраструктура дает возможность привлекать квали­фицированных специалистов, воспроизводить рабочую силу, обеспечивая ее всем необходимым. Она позволяет освободить работника от повседневных проблем, и предоставляет ему больше времени и сил уделить производству. А в сумме развитая социальная инфраструктура и правильно организованное произ­водство дают хороший экономический эффект.</w:t>
      </w:r>
    </w:p>
    <w:p>
      <w:pPr>
        <w:spacing w:before="0" w:after="300" w:line="312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u w:val="single"/>
          <w:shd w:fill="auto" w:val="clear"/>
        </w:rPr>
        <w:t xml:space="preserve">Раздел 6.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 Предложения по совершенствованию нормативно - правового и инфор­мационного обеспечения деятельности в сфере проектирования , строительства, реконструкции объектов социальной инфраструктуры Тростянского сельского посе­ления.</w:t>
      </w:r>
    </w:p>
    <w:p>
      <w:pPr>
        <w:spacing w:before="0" w:after="0" w:line="312"/>
        <w:ind w:right="20" w:left="20" w:firstLine="82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Совершенствование нормативно - правовой базы является важнейшим инструментом воздействия на внутреннюю среду , в которой будет осуществлять­ся реализация программных мероприятий .</w:t>
      </w:r>
    </w:p>
    <w:p>
      <w:pPr>
        <w:spacing w:before="0" w:after="0" w:line="317"/>
        <w:ind w:right="20" w:left="20" w:firstLine="3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Основной целью совершенствования нормативно - правовой базы является со­здание необходимых условий для развития Тростянского сельского поселения и обеспечения устойчивого экономического роста , социального развития.</w:t>
      </w:r>
    </w:p>
    <w:p>
      <w:pPr>
        <w:spacing w:before="0" w:after="0" w:line="317"/>
        <w:ind w:right="20" w:left="20" w:firstLine="30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Основными направлениями совершенствования нормативно - правовой базы сельского поселения являются :</w:t>
      </w:r>
    </w:p>
    <w:p>
      <w:pPr>
        <w:numPr>
          <w:ilvl w:val="0"/>
          <w:numId w:val="478"/>
        </w:numPr>
        <w:tabs>
          <w:tab w:val="left" w:pos="169" w:leader="none"/>
        </w:tabs>
        <w:spacing w:before="0" w:after="0" w:line="317"/>
        <w:ind w:right="0" w:left="2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стимулирование инвестиционной деятельности ;</w:t>
      </w:r>
    </w:p>
    <w:p>
      <w:pPr>
        <w:numPr>
          <w:ilvl w:val="0"/>
          <w:numId w:val="478"/>
        </w:numPr>
        <w:tabs>
          <w:tab w:val="left" w:pos="231" w:leader="none"/>
        </w:tabs>
        <w:spacing w:before="0" w:after="0" w:line="317"/>
        <w:ind w:right="20" w:left="2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совершенствование порядка использования муниципальных , в том числе зе­мельных ресурсов ( одной из основных задач в данной сфере является повыше­ние уровня отдачи использования муниципальных ресурсов для бюджетов всех уровней , а также обеспечение рационального природопользования при мини­мизации отрицательных воздействий на окружающую среду ; большую роль в дан­ной работе будет играть взаимодействие с федеральными и региональными орга­нами власти по совершенствованию порядка лицензирования и ввода в эксплуа­тацию водных , земельных и лесных ресурсов. ) ;</w:t>
      </w:r>
    </w:p>
    <w:p>
      <w:pPr>
        <w:numPr>
          <w:ilvl w:val="0"/>
          <w:numId w:val="478"/>
        </w:numPr>
        <w:tabs>
          <w:tab w:val="left" w:pos="241" w:leader="none"/>
        </w:tabs>
        <w:spacing w:before="0" w:after="0" w:line="317"/>
        <w:ind w:right="20" w:left="2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совершенствование административного регулирования и управления муници­пальной собственностью ( данное направление предполагает законодательное за­крепление проведения административной реформы на местном уровне , которая обеспечит создание структуры управления , более полно отвечающей задачам ре­гулирования рыночной экономики ; в данном направлении будет проведена рабо­та по совершенствованию структуры муниципальной собственности , повышению эффективности использования муниципального имущества, совершенствованию порядка использования муниципального имущества в качестве инструмента сти­мулирования инновационной деятельности ) ;</w:t>
      </w:r>
    </w:p>
    <w:p>
      <w:pPr>
        <w:spacing w:before="0" w:after="0" w:line="230"/>
        <w:ind w:right="74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формирование благоприятного социального климата ( данное направление предполагает разработку и принятие ряда нормативных актов , направленных на улучшение социального положения социально незащищенных и малоимущих сло­ев населения Тростянского сельского поселения; большое внимание будет посвя­щено повышению уровня жизни инвалидов , минимизация негативных послед­ствий проведения жилищно - коммунальной реформы , совершенствованию по­рядка предоставления медицинских , образовательных и других социальных услуг малоимущим слоям населения ).Приложение 1</w:t>
      </w:r>
    </w:p>
    <w:p>
      <w:pPr>
        <w:spacing w:before="0" w:after="240" w:line="274"/>
        <w:ind w:right="740" w:left="3620" w:firstLine="0"/>
        <w:jc w:val="righ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к муниципальной программе развития социальной инфраструктуры Тростянского сельского поселения Новоаннинского муниципального района Волгоградской области</w:t>
      </w:r>
    </w:p>
    <w:p>
      <w:pPr>
        <w:spacing w:before="0" w:after="14" w:line="230"/>
        <w:ind w:right="0" w:left="40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  <w:t xml:space="preserve">Программные мероприятия, объемы и источники финансирования программы развития социальной инфраструктуры Тростянского сельского поселения Новоаннинского муниципального района Волгоградской области</w:t>
      </w:r>
    </w:p>
    <w:tbl>
      <w:tblPr/>
      <w:tblGrid>
        <w:gridCol w:w="576"/>
        <w:gridCol w:w="2179"/>
        <w:gridCol w:w="1618"/>
        <w:gridCol w:w="1306"/>
        <w:gridCol w:w="2078"/>
        <w:gridCol w:w="2386"/>
      </w:tblGrid>
      <w:tr>
        <w:trPr>
          <w:trHeight w:val="259" w:hRule="auto"/>
          <w:jc w:val="center"/>
        </w:trPr>
        <w:tc>
          <w:tcPr>
            <w:tcW w:w="4373" w:type="dxa"/>
            <w:gridSpan w:val="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на 201</w:t>
            </w:r>
          </w:p>
        </w:tc>
        <w:tc>
          <w:tcPr>
            <w:tcW w:w="5770" w:type="dxa"/>
            <w:gridSpan w:val="3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6 - 2025 годы</w:t>
            </w:r>
          </w:p>
        </w:tc>
      </w:tr>
      <w:tr>
        <w:trPr>
          <w:trHeight w:val="936" w:hRule="auto"/>
          <w:jc w:val="center"/>
        </w:trPr>
        <w:tc>
          <w:tcPr>
            <w:tcW w:w="576" w:type="dxa"/>
            <w:vMerge w:val="restart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№ п/п</w:t>
            </w:r>
          </w:p>
        </w:tc>
        <w:tc>
          <w:tcPr>
            <w:tcW w:w="2179" w:type="dxa"/>
            <w:vMerge w:val="restart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618" w:type="dxa"/>
            <w:vMerge w:val="restart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240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Срок реа­лизации</w:t>
            </w:r>
          </w:p>
        </w:tc>
        <w:tc>
          <w:tcPr>
            <w:tcW w:w="3384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Общий объем финанси­рования</w:t>
            </w:r>
          </w:p>
        </w:tc>
        <w:tc>
          <w:tcPr>
            <w:tcW w:w="2386" w:type="dxa"/>
            <w:vMerge w:val="restart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Ожидаемые ре­зультаты от вы­полнения меро­приятий</w:t>
            </w:r>
          </w:p>
        </w:tc>
      </w:tr>
      <w:tr>
        <w:trPr>
          <w:trHeight w:val="1488" w:hRule="auto"/>
          <w:jc w:val="center"/>
        </w:trPr>
        <w:tc>
          <w:tcPr>
            <w:tcW w:w="576" w:type="dxa"/>
            <w:vMerge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2179" w:type="dxa"/>
            <w:vMerge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1618" w:type="dxa"/>
            <w:vMerge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130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Мест­ный бюджет, тыс.руб</w:t>
            </w:r>
          </w:p>
        </w:tc>
        <w:tc>
          <w:tcPr>
            <w:tcW w:w="20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Внебюджет­ные источники, тыс.руб</w:t>
            </w:r>
          </w:p>
        </w:tc>
        <w:tc>
          <w:tcPr>
            <w:tcW w:w="2386" w:type="dxa"/>
            <w:vMerge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</w:tr>
      <w:tr>
        <w:trPr>
          <w:trHeight w:val="2040" w:hRule="auto"/>
          <w:jc w:val="center"/>
        </w:trPr>
        <w:tc>
          <w:tcPr>
            <w:tcW w:w="5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1</w:t>
            </w:r>
          </w:p>
        </w:tc>
        <w:tc>
          <w:tcPr>
            <w:tcW w:w="21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Развитие сети автомобильных дорог и повыше­ние безопасно­сти дорожного движения</w:t>
            </w:r>
          </w:p>
        </w:tc>
        <w:tc>
          <w:tcPr>
            <w:tcW w:w="16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24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2016-2019</w:t>
            </w:r>
          </w:p>
        </w:tc>
        <w:tc>
          <w:tcPr>
            <w:tcW w:w="130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1078,0</w:t>
            </w:r>
          </w:p>
        </w:tc>
        <w:tc>
          <w:tcPr>
            <w:tcW w:w="20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</w:tc>
      </w:tr>
      <w:tr>
        <w:trPr>
          <w:trHeight w:val="2040" w:hRule="auto"/>
          <w:jc w:val="center"/>
        </w:trPr>
        <w:tc>
          <w:tcPr>
            <w:tcW w:w="5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</w:t>
            </w:r>
          </w:p>
        </w:tc>
        <w:tc>
          <w:tcPr>
            <w:tcW w:w="21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Развитие комму­нального хозяй­ства</w:t>
            </w:r>
          </w:p>
        </w:tc>
        <w:tc>
          <w:tcPr>
            <w:tcW w:w="16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24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2016-2016</w:t>
            </w:r>
          </w:p>
        </w:tc>
        <w:tc>
          <w:tcPr>
            <w:tcW w:w="130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383,0</w:t>
            </w:r>
          </w:p>
        </w:tc>
        <w:tc>
          <w:tcPr>
            <w:tcW w:w="20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Обеспечение устойчивого функ­ционирования и развития системы коммунального комплекса</w:t>
            </w:r>
          </w:p>
        </w:tc>
      </w:tr>
      <w:tr>
        <w:trPr>
          <w:trHeight w:val="1766" w:hRule="auto"/>
          <w:jc w:val="center"/>
        </w:trPr>
        <w:tc>
          <w:tcPr>
            <w:tcW w:w="5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3</w:t>
            </w:r>
          </w:p>
        </w:tc>
        <w:tc>
          <w:tcPr>
            <w:tcW w:w="21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Развитие систем наружного осве­щения населен­ных пунктов</w:t>
            </w:r>
          </w:p>
        </w:tc>
        <w:tc>
          <w:tcPr>
            <w:tcW w:w="16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24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2016-2019</w:t>
            </w:r>
          </w:p>
        </w:tc>
        <w:tc>
          <w:tcPr>
            <w:tcW w:w="130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957,0</w:t>
            </w:r>
          </w:p>
        </w:tc>
        <w:tc>
          <w:tcPr>
            <w:tcW w:w="20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Обеспечение уличного освеще­ния в ночное вре­мя , ремонт элек­трических сетей</w:t>
            </w:r>
          </w:p>
        </w:tc>
      </w:tr>
      <w:tr>
        <w:trPr>
          <w:trHeight w:val="1766" w:hRule="auto"/>
          <w:jc w:val="center"/>
        </w:trPr>
        <w:tc>
          <w:tcPr>
            <w:tcW w:w="5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4</w:t>
            </w:r>
          </w:p>
        </w:tc>
        <w:tc>
          <w:tcPr>
            <w:tcW w:w="21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Благоустройство, озеленение</w:t>
            </w:r>
          </w:p>
        </w:tc>
        <w:tc>
          <w:tcPr>
            <w:tcW w:w="16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24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2016-2019</w:t>
            </w:r>
          </w:p>
        </w:tc>
        <w:tc>
          <w:tcPr>
            <w:tcW w:w="130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2055,5</w:t>
            </w:r>
          </w:p>
        </w:tc>
        <w:tc>
          <w:tcPr>
            <w:tcW w:w="20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Улучшение и обла­гораживание внешнего вида Ивановского сель­ского поселения</w:t>
            </w:r>
          </w:p>
        </w:tc>
      </w:tr>
      <w:tr>
        <w:trPr>
          <w:trHeight w:val="1272" w:hRule="auto"/>
          <w:jc w:val="center"/>
        </w:trPr>
        <w:tc>
          <w:tcPr>
            <w:tcW w:w="5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5</w:t>
            </w:r>
          </w:p>
        </w:tc>
        <w:tc>
          <w:tcPr>
            <w:tcW w:w="21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Содержание мест захороне­ния</w:t>
            </w:r>
          </w:p>
        </w:tc>
        <w:tc>
          <w:tcPr>
            <w:tcW w:w="16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24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2016-2019</w:t>
            </w:r>
          </w:p>
        </w:tc>
        <w:tc>
          <w:tcPr>
            <w:tcW w:w="130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40,0</w:t>
            </w:r>
          </w:p>
        </w:tc>
        <w:tc>
          <w:tcPr>
            <w:tcW w:w="20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Расширение гра­ниц кладбища , со­держание его в надлежащем со-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"/>
          <w:shd w:fill="auto" w:val="clear"/>
        </w:rPr>
      </w:pPr>
    </w:p>
    <w:tbl>
      <w:tblPr>
        <w:tblInd w:w="45" w:type="dxa"/>
      </w:tblPr>
      <w:tblGrid>
        <w:gridCol w:w="576"/>
        <w:gridCol w:w="2179"/>
        <w:gridCol w:w="1622"/>
        <w:gridCol w:w="1301"/>
        <w:gridCol w:w="2078"/>
        <w:gridCol w:w="2386"/>
      </w:tblGrid>
      <w:tr>
        <w:trPr>
          <w:trHeight w:val="667" w:hRule="auto"/>
          <w:jc w:val="center"/>
        </w:trPr>
        <w:tc>
          <w:tcPr>
            <w:tcW w:w="5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</w:tc>
        <w:tc>
          <w:tcPr>
            <w:tcW w:w="21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</w:tc>
        <w:tc>
          <w:tcPr>
            <w:tcW w:w="16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</w:tc>
        <w:tc>
          <w:tcPr>
            <w:tcW w:w="20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Unicode MS" w:hAnsi="Arial Unicode MS" w:cs="Arial Unicode MS" w:eastAsia="Arial Unicode MS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стоянии</w:t>
            </w:r>
          </w:p>
        </w:tc>
      </w:tr>
      <w:tr>
        <w:trPr>
          <w:trHeight w:val="2314" w:hRule="auto"/>
          <w:jc w:val="center"/>
        </w:trPr>
        <w:tc>
          <w:tcPr>
            <w:tcW w:w="5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6</w:t>
            </w:r>
          </w:p>
        </w:tc>
        <w:tc>
          <w:tcPr>
            <w:tcW w:w="21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Реализация мо­лодежной поли­тики Тростянского сельского посе­лении</w:t>
            </w:r>
          </w:p>
        </w:tc>
        <w:tc>
          <w:tcPr>
            <w:tcW w:w="16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2016-2019</w:t>
            </w: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15,0</w:t>
            </w:r>
          </w:p>
        </w:tc>
        <w:tc>
          <w:tcPr>
            <w:tcW w:w="20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7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Повышение уров­ня гражданского и патриотического воспитания моло­дого поколения, улучшение здоро­вья</w:t>
            </w:r>
          </w:p>
        </w:tc>
      </w:tr>
      <w:tr>
        <w:trPr>
          <w:trHeight w:val="1776" w:hRule="auto"/>
          <w:jc w:val="center"/>
        </w:trPr>
        <w:tc>
          <w:tcPr>
            <w:tcW w:w="57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7</w:t>
            </w:r>
          </w:p>
        </w:tc>
        <w:tc>
          <w:tcPr>
            <w:tcW w:w="21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Организация до­суга и обеспече­ния жителей услугами культу­ры</w:t>
            </w:r>
          </w:p>
        </w:tc>
        <w:tc>
          <w:tcPr>
            <w:tcW w:w="162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2016-2019</w:t>
            </w: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7803,0</w:t>
            </w:r>
          </w:p>
        </w:tc>
        <w:tc>
          <w:tcPr>
            <w:tcW w:w="207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78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</w:tc>
        <w:tc>
          <w:tcPr>
            <w:tcW w:w="238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3"/>
                <w:shd w:fill="auto" w:val="clear"/>
              </w:rPr>
              <w:t xml:space="preserve">Создание благо­приятных условий для обеспечения досуга населения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1143" w:leader="none"/>
        </w:tabs>
        <w:spacing w:before="0" w:after="0" w:line="36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25">
    <w:lvl w:ilvl="0">
      <w:start w:val="1"/>
      <w:numFmt w:val="decimal"/>
      <w:lvlText w:val="%1."/>
    </w:lvl>
  </w:abstractNum>
  <w:abstractNum w:abstractNumId="72">
    <w:lvl w:ilvl="0">
      <w:start w:val="1"/>
      <w:numFmt w:val="bullet"/>
      <w:lvlText w:val="•"/>
    </w:lvl>
  </w:abstractNum>
  <w:num w:numId="10">
    <w:abstractNumId w:val="25"/>
  </w:num>
  <w:num w:numId="41">
    <w:abstractNumId w:val="72"/>
  </w:num>
  <w:num w:numId="43">
    <w:abstractNumId w:val="66"/>
  </w:num>
  <w:num w:numId="315">
    <w:abstractNumId w:val="60"/>
  </w:num>
  <w:num w:numId="371">
    <w:abstractNumId w:val="54"/>
  </w:num>
  <w:num w:numId="374">
    <w:abstractNumId w:val="19"/>
  </w:num>
  <w:num w:numId="379">
    <w:abstractNumId w:val="48"/>
  </w:num>
  <w:num w:numId="384">
    <w:abstractNumId w:val="42"/>
  </w:num>
  <w:num w:numId="386">
    <w:abstractNumId w:val="36"/>
  </w:num>
  <w:num w:numId="392">
    <w:abstractNumId w:val="30"/>
  </w:num>
  <w:num w:numId="399">
    <w:abstractNumId w:val="13"/>
  </w:num>
  <w:num w:numId="407">
    <w:abstractNumId w:val="7"/>
  </w:num>
  <w:num w:numId="413">
    <w:abstractNumId w:val="24"/>
  </w:num>
  <w:num w:numId="420">
    <w:abstractNumId w:val="18"/>
  </w:num>
  <w:num w:numId="452">
    <w:abstractNumId w:val="12"/>
  </w:num>
  <w:num w:numId="459">
    <w:abstractNumId w:val="6"/>
  </w:num>
  <w:num w:numId="469">
    <w:abstractNumId w:val="1"/>
  </w:num>
  <w:num w:numId="4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ile://C:\Documents%20and%20Settings\deshkovich\Andrey\AppData\Local\Microsoft\Windows\Temporary%20Internet%20Files\Content.MSO\BE9AD70D.xlsx#RANGE!A18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